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pStyle w:val="2"/>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597"/>
      <w:bookmarkStart w:id="2" w:name="_Toc15377193"/>
      <w:bookmarkStart w:id="3" w:name="_Toc15378441"/>
      <w:bookmarkStart w:id="4" w:name="_Toc15396475"/>
      <w:bookmarkStart w:id="5" w:name="_Toc15377425"/>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eastAsia="zh-CN"/>
        </w:rPr>
      </w:pPr>
      <w:bookmarkStart w:id="6" w:name="_Toc15377194"/>
      <w:bookmarkStart w:id="7" w:name="_Toc15306268"/>
      <w:bookmarkStart w:id="8" w:name="_Toc15378442"/>
      <w:bookmarkStart w:id="9" w:name="_Toc15377426"/>
      <w:bookmarkStart w:id="10" w:name="_Toc15396476"/>
      <w:bookmarkStart w:id="11" w:name="_Toc15396598"/>
      <w:r>
        <w:rPr>
          <w:rFonts w:hint="eastAsia" w:ascii="方正小标宋简体" w:hAnsi="方正小标宋简体" w:eastAsia="方正小标宋简体" w:cs="方正小标宋简体"/>
          <w:sz w:val="72"/>
          <w:szCs w:val="72"/>
          <w:lang w:eastAsia="zh-CN"/>
        </w:rPr>
        <w:t>大竹县杨家中心卫生院</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lang w:eastAsia="zh-CN"/>
        </w:rPr>
        <w:t>单位</w:t>
      </w:r>
      <w:r>
        <w:rPr>
          <w:rFonts w:hint="eastAsia" w:ascii="方正小标宋简体" w:hAnsi="方正小标宋简体" w:eastAsia="方正小标宋简体" w:cs="方正小标宋简体"/>
          <w:sz w:val="72"/>
          <w:szCs w:val="72"/>
        </w:rPr>
        <w:t>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sz w:val="52"/>
          <w:szCs w:val="52"/>
        </w:rPr>
      </w:pP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1"/>
      </w:pPr>
      <w:r>
        <w:rPr>
          <w:rFonts w:hint="eastAsia"/>
        </w:rPr>
        <w:t>公开时间：202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18</w:t>
      </w:r>
      <w:r>
        <w:rPr>
          <w:rFonts w:hint="eastAsia"/>
        </w:rPr>
        <w:t>日</w:t>
      </w:r>
    </w:p>
    <w:p/>
    <w:p>
      <w:pPr>
        <w:pStyle w:val="11"/>
        <w:numPr>
          <w:ilvl w:val="0"/>
          <w:numId w:val="1"/>
        </w:numPr>
        <w:adjustRightInd w:val="0"/>
        <w:snapToGrid w:val="0"/>
        <w:spacing w:before="0" w:line="440" w:lineRule="exact"/>
        <w:jc w:val="left"/>
        <w:rPr>
          <w:rFonts w:hint="default" w:eastAsia="仿宋" w:cstheme="minorBidi"/>
          <w:sz w:val="24"/>
          <w:szCs w:val="24"/>
          <w:lang w:val="en-US" w:eastAsia="zh-CN"/>
        </w:rPr>
      </w:pPr>
      <w:r>
        <w:rPr>
          <w:rFonts w:hint="eastAsia"/>
          <w:sz w:val="24"/>
        </w:rPr>
        <w:t>单</w:t>
      </w:r>
      <w:r>
        <w:rPr>
          <w:rFonts w:hint="eastAsia"/>
          <w:sz w:val="24"/>
          <w:lang w:eastAsia="zh-CN"/>
        </w:rPr>
        <w:t>位概</w:t>
      </w:r>
      <w:r>
        <w:rPr>
          <w:rFonts w:hint="eastAsia"/>
          <w:sz w:val="24"/>
        </w:rPr>
        <w:t>况</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仿宋" w:hAnsi="仿宋" w:eastAsia="仿宋" w:cs="仿宋"/>
          <w:b w:val="0"/>
          <w:bCs w:val="0"/>
          <w:color w:val="auto"/>
          <w:sz w:val="24"/>
          <w:highlight w:val="none"/>
          <w:lang w:val="en-US" w:eastAsia="zh-CN"/>
        </w:rPr>
        <w:t>4</w:t>
      </w:r>
    </w:p>
    <w:p>
      <w:pPr>
        <w:pStyle w:val="12"/>
        <w:adjustRightInd w:val="0"/>
        <w:snapToGrid w:val="0"/>
        <w:spacing w:line="440" w:lineRule="exact"/>
        <w:jc w:val="left"/>
        <w:rPr>
          <w:sz w:val="24"/>
        </w:rPr>
      </w:pPr>
      <w:r>
        <w:rPr>
          <w:rFonts w:hint="eastAsia"/>
          <w:sz w:val="24"/>
        </w:rPr>
        <w:t>一、主要职责</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仿宋" w:hAnsi="仿宋" w:eastAsia="仿宋" w:cs="仿宋"/>
          <w:b w:val="0"/>
          <w:bCs w:val="0"/>
          <w:color w:val="auto"/>
          <w:sz w:val="24"/>
          <w:highlight w:val="none"/>
          <w:lang w:val="en-US" w:eastAsia="zh-CN"/>
        </w:rPr>
        <w:t>4</w:t>
      </w:r>
    </w:p>
    <w:p>
      <w:pPr>
        <w:pStyle w:val="12"/>
        <w:adjustRightInd w:val="0"/>
        <w:snapToGrid w:val="0"/>
        <w:spacing w:line="440" w:lineRule="exact"/>
        <w:jc w:val="left"/>
      </w:pPr>
      <w:r>
        <w:rPr>
          <w:rFonts w:hint="eastAsia"/>
          <w:sz w:val="24"/>
        </w:rPr>
        <w:t>二、机构设置</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仿宋" w:hAnsi="仿宋" w:eastAsia="仿宋" w:cs="仿宋"/>
          <w:b w:val="0"/>
          <w:bCs w:val="0"/>
          <w:color w:val="auto"/>
          <w:sz w:val="24"/>
          <w:highlight w:val="none"/>
          <w:lang w:val="en-US" w:eastAsia="zh-CN"/>
        </w:rPr>
        <w:t>4</w:t>
      </w:r>
    </w:p>
    <w:p>
      <w:pPr>
        <w:pStyle w:val="11"/>
        <w:adjustRightInd w:val="0"/>
        <w:snapToGrid w:val="0"/>
        <w:spacing w:before="0" w:line="440" w:lineRule="exact"/>
        <w:jc w:val="left"/>
        <w:rPr>
          <w:rFonts w:hint="default" w:eastAsia="仿宋"/>
          <w:sz w:val="24"/>
          <w:szCs w:val="24"/>
          <w:lang w:val="en-US" w:eastAsia="zh-CN"/>
        </w:rPr>
      </w:pPr>
      <w:r>
        <w:rPr>
          <w:rFonts w:hint="eastAsia"/>
          <w:sz w:val="24"/>
        </w:rPr>
        <w:t>第二部分 2023年度单位决算情况说明</w:t>
      </w:r>
      <w:r>
        <w:rPr>
          <w:rFonts w:hint="eastAsia"/>
          <w:sz w:val="24"/>
          <w:lang w:val="en-US" w:eastAsia="zh-CN"/>
        </w:rPr>
        <w:t xml:space="preserve"> </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cs="仿宋"/>
          <w:b w:val="0"/>
          <w:bCs w:val="0"/>
          <w:color w:val="auto"/>
          <w:sz w:val="24"/>
          <w:highlight w:val="none"/>
          <w:lang w:val="en-US" w:eastAsia="zh-CN"/>
        </w:rPr>
        <w:t>5</w:t>
      </w:r>
      <w:r>
        <w:rPr>
          <w:rFonts w:hint="eastAsia"/>
          <w:sz w:val="24"/>
          <w:lang w:val="en-US" w:eastAsia="zh-CN"/>
        </w:rPr>
        <w:t xml:space="preserve">                                    </w:t>
      </w:r>
    </w:p>
    <w:p>
      <w:pPr>
        <w:pStyle w:val="12"/>
        <w:adjustRightInd w:val="0"/>
        <w:snapToGrid w:val="0"/>
        <w:spacing w:line="440" w:lineRule="exact"/>
        <w:jc w:val="left"/>
        <w:rPr>
          <w:rFonts w:hint="default" w:ascii="仿宋" w:hAnsi="仿宋" w:eastAsia="仿宋" w:cstheme="minorBidi"/>
          <w:sz w:val="24"/>
          <w:lang w:val="en-US"/>
        </w:rPr>
      </w:pPr>
      <w:r>
        <w:rPr>
          <w:rFonts w:hint="eastAsia"/>
          <w:sz w:val="24"/>
        </w:rPr>
        <w:t>一、收入支出决算总体情况说明</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仿宋" w:hAnsi="仿宋" w:eastAsia="仿宋" w:cs="仿宋"/>
          <w:color w:val="auto"/>
          <w:sz w:val="24"/>
          <w:highlight w:val="none"/>
          <w:lang w:val="en-US" w:eastAsia="zh-CN"/>
        </w:rPr>
        <w:t>5</w:t>
      </w:r>
    </w:p>
    <w:p>
      <w:pPr>
        <w:pStyle w:val="12"/>
        <w:adjustRightInd w:val="0"/>
        <w:snapToGrid w:val="0"/>
        <w:spacing w:line="440" w:lineRule="exact"/>
        <w:jc w:val="left"/>
        <w:rPr>
          <w:rFonts w:hint="default" w:ascii="仿宋" w:hAnsi="仿宋" w:eastAsia="仿宋" w:cstheme="minorBidi"/>
          <w:sz w:val="24"/>
          <w:lang w:val="en-US"/>
        </w:rPr>
      </w:pPr>
      <w:r>
        <w:rPr>
          <w:rFonts w:hint="eastAsia"/>
          <w:sz w:val="24"/>
        </w:rPr>
        <w:t>二、收入决算情况说明</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仿宋" w:hAnsi="仿宋" w:eastAsia="仿宋" w:cs="仿宋"/>
          <w:color w:val="auto"/>
          <w:sz w:val="24"/>
          <w:highlight w:val="none"/>
          <w:lang w:val="en-US" w:eastAsia="zh-CN"/>
        </w:rPr>
        <w:t>5</w:t>
      </w:r>
    </w:p>
    <w:p>
      <w:pPr>
        <w:pStyle w:val="12"/>
        <w:adjustRightInd w:val="0"/>
        <w:snapToGrid w:val="0"/>
        <w:spacing w:line="440" w:lineRule="exact"/>
        <w:jc w:val="left"/>
        <w:rPr>
          <w:rFonts w:hint="default" w:ascii="仿宋" w:hAnsi="仿宋" w:eastAsia="仿宋" w:cstheme="minorBidi"/>
          <w:sz w:val="24"/>
          <w:lang w:val="en-US"/>
        </w:rPr>
      </w:pPr>
      <w:r>
        <w:rPr>
          <w:rFonts w:hint="eastAsia"/>
          <w:sz w:val="24"/>
        </w:rPr>
        <w:t>三、支出决算情况说明</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仿宋" w:hAnsi="仿宋" w:eastAsia="仿宋" w:cs="仿宋"/>
          <w:color w:val="auto"/>
          <w:sz w:val="24"/>
          <w:highlight w:val="none"/>
          <w:lang w:val="en-US" w:eastAsia="zh-CN"/>
        </w:rPr>
        <w:t>6</w:t>
      </w:r>
    </w:p>
    <w:p>
      <w:pPr>
        <w:pStyle w:val="12"/>
        <w:adjustRightInd w:val="0"/>
        <w:snapToGrid w:val="0"/>
        <w:spacing w:line="440" w:lineRule="exact"/>
        <w:jc w:val="left"/>
        <w:rPr>
          <w:rFonts w:hint="default" w:ascii="仿宋" w:hAnsi="仿宋" w:eastAsia="仿宋" w:cstheme="minorBidi"/>
          <w:sz w:val="24"/>
          <w:lang w:val="en-US"/>
        </w:rPr>
      </w:pPr>
      <w:r>
        <w:rPr>
          <w:rFonts w:hint="eastAsia"/>
          <w:sz w:val="24"/>
        </w:rPr>
        <w:t>四、财政拨款收入支出决算总体情况说明</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仿宋" w:hAnsi="仿宋" w:eastAsia="仿宋" w:cs="仿宋"/>
          <w:color w:val="auto"/>
          <w:sz w:val="24"/>
          <w:highlight w:val="none"/>
          <w:lang w:val="en-US" w:eastAsia="zh-CN"/>
        </w:rPr>
        <w:t>7</w:t>
      </w:r>
    </w:p>
    <w:p>
      <w:pPr>
        <w:pStyle w:val="12"/>
        <w:adjustRightInd w:val="0"/>
        <w:snapToGrid w:val="0"/>
        <w:spacing w:line="440" w:lineRule="exact"/>
        <w:jc w:val="left"/>
        <w:rPr>
          <w:rFonts w:hint="default" w:ascii="仿宋" w:hAnsi="仿宋" w:eastAsia="仿宋" w:cstheme="minorBidi"/>
          <w:sz w:val="24"/>
          <w:lang w:val="en-US"/>
        </w:rPr>
      </w:pPr>
      <w:r>
        <w:rPr>
          <w:rFonts w:hint="eastAsia"/>
          <w:sz w:val="24"/>
        </w:rPr>
        <w:t>五、一般公共预算财政拨款支出决算情况说明</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仿宋" w:hAnsi="仿宋" w:eastAsia="仿宋" w:cs="仿宋"/>
          <w:color w:val="auto"/>
          <w:sz w:val="24"/>
          <w:highlight w:val="none"/>
          <w:lang w:val="en-US" w:eastAsia="zh-CN"/>
        </w:rPr>
        <w:t>8</w:t>
      </w:r>
    </w:p>
    <w:p>
      <w:pPr>
        <w:pStyle w:val="12"/>
        <w:adjustRightInd w:val="0"/>
        <w:snapToGrid w:val="0"/>
        <w:spacing w:line="440" w:lineRule="exact"/>
        <w:jc w:val="left"/>
        <w:rPr>
          <w:rFonts w:hint="default" w:ascii="仿宋" w:hAnsi="仿宋" w:eastAsia="仿宋" w:cstheme="minorBidi"/>
          <w:sz w:val="24"/>
          <w:lang w:val="en-US"/>
        </w:rPr>
      </w:pPr>
      <w:r>
        <w:rPr>
          <w:rFonts w:hint="eastAsia"/>
          <w:sz w:val="24"/>
        </w:rPr>
        <w:t>六、一般公共预算财政拨款基本支出决算情况说明</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仿宋" w:hAnsi="仿宋" w:eastAsia="仿宋" w:cs="仿宋"/>
          <w:color w:val="auto"/>
          <w:sz w:val="24"/>
          <w:highlight w:val="none"/>
          <w:lang w:val="en-US" w:eastAsia="zh-CN"/>
        </w:rPr>
        <w:t>10</w:t>
      </w:r>
    </w:p>
    <w:p>
      <w:pPr>
        <w:pStyle w:val="12"/>
        <w:adjustRightInd w:val="0"/>
        <w:snapToGrid w:val="0"/>
        <w:spacing w:line="440" w:lineRule="exact"/>
        <w:jc w:val="left"/>
        <w:rPr>
          <w:rFonts w:hint="default" w:ascii="仿宋" w:hAnsi="仿宋" w:eastAsia="仿宋" w:cstheme="minorBidi"/>
          <w:sz w:val="24"/>
          <w:lang w:val="en-US"/>
        </w:rPr>
      </w:pPr>
      <w:r>
        <w:rPr>
          <w:rFonts w:hint="eastAsia"/>
          <w:sz w:val="24"/>
        </w:rPr>
        <w:t>七、财政拨款“三公”经费支出决算情况说明</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仿宋" w:hAnsi="仿宋" w:eastAsia="仿宋" w:cs="仿宋"/>
          <w:color w:val="auto"/>
          <w:sz w:val="24"/>
          <w:highlight w:val="none"/>
          <w:lang w:val="en-US" w:eastAsia="zh-CN"/>
        </w:rPr>
        <w:t>10</w:t>
      </w:r>
    </w:p>
    <w:p>
      <w:pPr>
        <w:pStyle w:val="12"/>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仿宋" w:hAnsi="仿宋" w:eastAsia="仿宋" w:cs="仿宋"/>
          <w:color w:val="auto"/>
          <w:sz w:val="24"/>
          <w:highlight w:val="none"/>
          <w:lang w:val="en-US" w:eastAsia="zh-CN"/>
        </w:rPr>
        <w:t>12</w:t>
      </w:r>
    </w:p>
    <w:p>
      <w:pPr>
        <w:pStyle w:val="12"/>
        <w:adjustRightInd w:val="0"/>
        <w:snapToGrid w:val="0"/>
        <w:spacing w:line="440" w:lineRule="exact"/>
        <w:jc w:val="left"/>
        <w:rPr>
          <w:sz w:val="24"/>
        </w:rPr>
      </w:pPr>
      <w:r>
        <w:rPr>
          <w:rFonts w:hint="eastAsia"/>
          <w:sz w:val="24"/>
        </w:rPr>
        <w:t>九、国有资本经营预算支出决算情况说明</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仿宋" w:hAnsi="仿宋" w:eastAsia="仿宋" w:cs="仿宋"/>
          <w:color w:val="auto"/>
          <w:sz w:val="24"/>
          <w:highlight w:val="none"/>
          <w:lang w:val="en-US" w:eastAsia="zh-CN"/>
        </w:rPr>
        <w:t>12</w:t>
      </w:r>
    </w:p>
    <w:p>
      <w:pPr>
        <w:pStyle w:val="12"/>
        <w:adjustRightInd w:val="0"/>
        <w:snapToGrid w:val="0"/>
        <w:spacing w:line="440" w:lineRule="exact"/>
        <w:jc w:val="left"/>
        <w:rPr>
          <w:rFonts w:hint="default"/>
          <w:sz w:val="24"/>
          <w:lang w:val="en-US"/>
        </w:rPr>
      </w:pPr>
      <w:r>
        <w:rPr>
          <w:rFonts w:hint="eastAsia"/>
          <w:sz w:val="24"/>
        </w:rPr>
        <w:t>十、其他重要事项的情况说明</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仿宋" w:hAnsi="仿宋" w:eastAsia="仿宋" w:cs="仿宋"/>
          <w:color w:val="auto"/>
          <w:sz w:val="24"/>
          <w:highlight w:val="none"/>
          <w:lang w:val="en-US" w:eastAsia="zh-CN"/>
        </w:rPr>
        <w:t>12</w:t>
      </w:r>
    </w:p>
    <w:p>
      <w:pPr>
        <w:pStyle w:val="11"/>
        <w:adjustRightInd w:val="0"/>
        <w:snapToGrid w:val="0"/>
        <w:spacing w:before="0" w:line="440" w:lineRule="exact"/>
        <w:jc w:val="left"/>
        <w:rPr>
          <w:rFonts w:hint="default" w:cstheme="minorBidi"/>
          <w:sz w:val="24"/>
          <w:szCs w:val="24"/>
          <w:lang w:val="en-US"/>
        </w:rPr>
      </w:pPr>
      <w:r>
        <w:rPr>
          <w:rFonts w:hint="eastAsia"/>
          <w:sz w:val="24"/>
        </w:rPr>
        <w:t>第三部分</w:t>
      </w:r>
      <w:r>
        <w:rPr>
          <w:sz w:val="24"/>
        </w:rPr>
        <w:t xml:space="preserve"> </w:t>
      </w:r>
      <w:r>
        <w:rPr>
          <w:rFonts w:hint="eastAsia"/>
          <w:sz w:val="24"/>
        </w:rPr>
        <w:t>名词解释</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仿宋" w:hAnsi="仿宋" w:eastAsia="仿宋" w:cs="仿宋"/>
          <w:b w:val="0"/>
          <w:bCs w:val="0"/>
          <w:color w:val="auto"/>
          <w:sz w:val="24"/>
          <w:highlight w:val="none"/>
          <w:lang w:val="en-US" w:eastAsia="zh-CN"/>
        </w:rPr>
        <w:t>13</w:t>
      </w:r>
    </w:p>
    <w:p>
      <w:pPr>
        <w:pStyle w:val="11"/>
        <w:adjustRightInd w:val="0"/>
        <w:snapToGrid w:val="0"/>
        <w:spacing w:before="0" w:line="440" w:lineRule="exact"/>
        <w:jc w:val="left"/>
        <w:rPr>
          <w:rFonts w:hint="default" w:cstheme="minorBidi"/>
          <w:sz w:val="24"/>
          <w:szCs w:val="24"/>
          <w:lang w:val="en-US"/>
        </w:rPr>
      </w:pPr>
      <w:r>
        <w:rPr>
          <w:rFonts w:hint="eastAsia"/>
          <w:sz w:val="24"/>
        </w:rPr>
        <w:t>第四部分</w:t>
      </w:r>
      <w:r>
        <w:rPr>
          <w:sz w:val="24"/>
        </w:rPr>
        <w:t xml:space="preserve"> </w:t>
      </w:r>
      <w:r>
        <w:rPr>
          <w:rFonts w:hint="eastAsia"/>
          <w:sz w:val="24"/>
        </w:rPr>
        <w:t>附件</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cs="仿宋"/>
          <w:b w:val="0"/>
          <w:bCs w:val="0"/>
          <w:color w:val="auto"/>
          <w:sz w:val="24"/>
          <w:highlight w:val="none"/>
          <w:lang w:val="en-US" w:eastAsia="zh-CN"/>
        </w:rPr>
        <w:t>15</w:t>
      </w:r>
    </w:p>
    <w:p>
      <w:pPr>
        <w:pStyle w:val="11"/>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cs="仿宋"/>
          <w:b w:val="0"/>
          <w:bCs w:val="0"/>
          <w:color w:val="auto"/>
          <w:sz w:val="24"/>
          <w:highlight w:val="none"/>
          <w:lang w:val="en-US" w:eastAsia="zh-CN"/>
        </w:rPr>
        <w:t>21</w:t>
      </w:r>
    </w:p>
    <w:p>
      <w:pPr>
        <w:pStyle w:val="12"/>
        <w:adjustRightInd w:val="0"/>
        <w:snapToGrid w:val="0"/>
        <w:spacing w:line="440" w:lineRule="exact"/>
        <w:jc w:val="left"/>
        <w:rPr>
          <w:sz w:val="24"/>
        </w:rPr>
      </w:pPr>
      <w:r>
        <w:rPr>
          <w:rFonts w:hint="eastAsia"/>
          <w:sz w:val="24"/>
        </w:rPr>
        <w:t>一、收入支出决算总表</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仿宋" w:hAnsi="仿宋" w:eastAsia="仿宋" w:cs="仿宋"/>
          <w:b w:val="0"/>
          <w:bCs w:val="0"/>
          <w:color w:val="auto"/>
          <w:sz w:val="24"/>
          <w:highlight w:val="none"/>
          <w:lang w:val="en-US" w:eastAsia="zh-CN"/>
        </w:rPr>
        <w:t>21</w:t>
      </w:r>
    </w:p>
    <w:p>
      <w:pPr>
        <w:pStyle w:val="12"/>
        <w:adjustRightInd w:val="0"/>
        <w:snapToGrid w:val="0"/>
        <w:spacing w:line="440" w:lineRule="exact"/>
        <w:jc w:val="left"/>
        <w:rPr>
          <w:sz w:val="24"/>
        </w:rPr>
      </w:pPr>
      <w:r>
        <w:rPr>
          <w:rFonts w:hint="eastAsia"/>
          <w:sz w:val="24"/>
        </w:rPr>
        <w:t>二、收入决算表</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仿宋" w:hAnsi="仿宋" w:eastAsia="仿宋" w:cs="仿宋"/>
          <w:b w:val="0"/>
          <w:bCs w:val="0"/>
          <w:color w:val="auto"/>
          <w:sz w:val="24"/>
          <w:highlight w:val="none"/>
          <w:lang w:val="en-US" w:eastAsia="zh-CN"/>
        </w:rPr>
        <w:t>21</w:t>
      </w:r>
    </w:p>
    <w:p>
      <w:pPr>
        <w:pStyle w:val="12"/>
        <w:adjustRightInd w:val="0"/>
        <w:snapToGrid w:val="0"/>
        <w:spacing w:line="440" w:lineRule="exact"/>
        <w:jc w:val="left"/>
        <w:rPr>
          <w:sz w:val="24"/>
        </w:rPr>
      </w:pPr>
      <w:r>
        <w:rPr>
          <w:rFonts w:hint="eastAsia"/>
          <w:sz w:val="24"/>
        </w:rPr>
        <w:t>三、支出决算表</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仿宋" w:hAnsi="仿宋" w:eastAsia="仿宋" w:cs="仿宋"/>
          <w:b w:val="0"/>
          <w:bCs w:val="0"/>
          <w:color w:val="auto"/>
          <w:sz w:val="24"/>
          <w:highlight w:val="none"/>
          <w:lang w:val="en-US" w:eastAsia="zh-CN"/>
        </w:rPr>
        <w:t>21</w:t>
      </w:r>
    </w:p>
    <w:p>
      <w:pPr>
        <w:pStyle w:val="12"/>
        <w:adjustRightInd w:val="0"/>
        <w:snapToGrid w:val="0"/>
        <w:spacing w:line="440" w:lineRule="exact"/>
        <w:jc w:val="left"/>
        <w:rPr>
          <w:sz w:val="24"/>
        </w:rPr>
      </w:pPr>
      <w:r>
        <w:rPr>
          <w:rFonts w:hint="eastAsia"/>
          <w:sz w:val="24"/>
        </w:rPr>
        <w:t>四、财政拨款收入支出决算总表</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仿宋" w:hAnsi="仿宋" w:eastAsia="仿宋" w:cs="仿宋"/>
          <w:b w:val="0"/>
          <w:bCs w:val="0"/>
          <w:color w:val="auto"/>
          <w:sz w:val="24"/>
          <w:highlight w:val="none"/>
          <w:lang w:val="en-US" w:eastAsia="zh-CN"/>
        </w:rPr>
        <w:t>21</w:t>
      </w:r>
    </w:p>
    <w:p>
      <w:pPr>
        <w:pStyle w:val="12"/>
        <w:adjustRightInd w:val="0"/>
        <w:snapToGrid w:val="0"/>
        <w:spacing w:line="440" w:lineRule="exact"/>
        <w:jc w:val="left"/>
        <w:rPr>
          <w:sz w:val="24"/>
        </w:rPr>
      </w:pPr>
      <w:r>
        <w:rPr>
          <w:rFonts w:hint="eastAsia"/>
          <w:sz w:val="24"/>
        </w:rPr>
        <w:t>五、财政拨款支出决算明细表</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仿宋" w:hAnsi="仿宋" w:eastAsia="仿宋" w:cs="仿宋"/>
          <w:b w:val="0"/>
          <w:bCs w:val="0"/>
          <w:color w:val="auto"/>
          <w:sz w:val="24"/>
          <w:highlight w:val="none"/>
          <w:lang w:val="en-US" w:eastAsia="zh-CN"/>
        </w:rPr>
        <w:t>21</w:t>
      </w:r>
    </w:p>
    <w:p>
      <w:pPr>
        <w:pStyle w:val="12"/>
        <w:adjustRightInd w:val="0"/>
        <w:snapToGrid w:val="0"/>
        <w:spacing w:line="440" w:lineRule="exact"/>
        <w:jc w:val="left"/>
        <w:rPr>
          <w:sz w:val="24"/>
        </w:rPr>
      </w:pPr>
      <w:r>
        <w:rPr>
          <w:rFonts w:hint="eastAsia"/>
          <w:sz w:val="24"/>
        </w:rPr>
        <w:t>六、一般公共预算财政拨款支出决算表</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仿宋" w:hAnsi="仿宋" w:eastAsia="仿宋" w:cs="仿宋"/>
          <w:b w:val="0"/>
          <w:bCs w:val="0"/>
          <w:color w:val="auto"/>
          <w:sz w:val="24"/>
          <w:highlight w:val="none"/>
          <w:lang w:val="en-US" w:eastAsia="zh-CN"/>
        </w:rPr>
        <w:t>21</w:t>
      </w:r>
    </w:p>
    <w:p>
      <w:pPr>
        <w:pStyle w:val="12"/>
        <w:adjustRightInd w:val="0"/>
        <w:snapToGrid w:val="0"/>
        <w:spacing w:line="440" w:lineRule="exact"/>
        <w:jc w:val="left"/>
        <w:rPr>
          <w:sz w:val="24"/>
        </w:rPr>
      </w:pPr>
      <w:r>
        <w:rPr>
          <w:rFonts w:hint="eastAsia"/>
          <w:sz w:val="24"/>
        </w:rPr>
        <w:t>七、一般公共预算财政拨款支出决算明细表</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仿宋" w:hAnsi="仿宋" w:eastAsia="仿宋" w:cs="仿宋"/>
          <w:b w:val="0"/>
          <w:bCs w:val="0"/>
          <w:color w:val="auto"/>
          <w:sz w:val="24"/>
          <w:highlight w:val="none"/>
          <w:lang w:val="en-US" w:eastAsia="zh-CN"/>
        </w:rPr>
        <w:t>21</w:t>
      </w:r>
    </w:p>
    <w:p>
      <w:pPr>
        <w:pStyle w:val="12"/>
        <w:adjustRightInd w:val="0"/>
        <w:snapToGrid w:val="0"/>
        <w:spacing w:line="440" w:lineRule="exact"/>
        <w:jc w:val="left"/>
        <w:rPr>
          <w:sz w:val="24"/>
        </w:rPr>
      </w:pPr>
      <w:r>
        <w:rPr>
          <w:rFonts w:hint="eastAsia"/>
          <w:sz w:val="24"/>
        </w:rPr>
        <w:t>八、一般公共预算财政拨款基本支出决算明细表</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仿宋" w:hAnsi="仿宋" w:eastAsia="仿宋" w:cs="仿宋"/>
          <w:b w:val="0"/>
          <w:bCs w:val="0"/>
          <w:color w:val="auto"/>
          <w:sz w:val="24"/>
          <w:highlight w:val="none"/>
          <w:lang w:val="en-US" w:eastAsia="zh-CN"/>
        </w:rPr>
        <w:t>21</w:t>
      </w:r>
    </w:p>
    <w:p>
      <w:pPr>
        <w:pStyle w:val="12"/>
        <w:adjustRightInd w:val="0"/>
        <w:snapToGrid w:val="0"/>
        <w:spacing w:line="440" w:lineRule="exact"/>
        <w:jc w:val="left"/>
        <w:rPr>
          <w:sz w:val="24"/>
        </w:rPr>
      </w:pPr>
      <w:r>
        <w:rPr>
          <w:rFonts w:hint="eastAsia"/>
          <w:sz w:val="24"/>
        </w:rPr>
        <w:t>九、一般公共预算财政拨款项目支出决算表</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仿宋" w:hAnsi="仿宋" w:eastAsia="仿宋" w:cs="仿宋"/>
          <w:b w:val="0"/>
          <w:bCs w:val="0"/>
          <w:color w:val="auto"/>
          <w:sz w:val="24"/>
          <w:highlight w:val="none"/>
          <w:lang w:val="en-US" w:eastAsia="zh-CN"/>
        </w:rPr>
        <w:t>21</w:t>
      </w:r>
    </w:p>
    <w:p>
      <w:pPr>
        <w:pStyle w:val="12"/>
        <w:adjustRightInd w:val="0"/>
        <w:snapToGrid w:val="0"/>
        <w:spacing w:line="440" w:lineRule="exact"/>
        <w:jc w:val="left"/>
        <w:rPr>
          <w:sz w:val="24"/>
        </w:rPr>
      </w:pPr>
      <w:r>
        <w:rPr>
          <w:rFonts w:hint="eastAsia"/>
          <w:sz w:val="24"/>
        </w:rPr>
        <w:t>十、政府性基金预算财政拨款收入支出决算表</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仿宋" w:hAnsi="仿宋" w:eastAsia="仿宋" w:cs="仿宋"/>
          <w:b w:val="0"/>
          <w:bCs w:val="0"/>
          <w:color w:val="auto"/>
          <w:sz w:val="24"/>
          <w:highlight w:val="none"/>
          <w:lang w:val="en-US" w:eastAsia="zh-CN"/>
        </w:rPr>
        <w:t>21</w:t>
      </w:r>
    </w:p>
    <w:p>
      <w:pPr>
        <w:pStyle w:val="12"/>
        <w:adjustRightInd w:val="0"/>
        <w:snapToGrid w:val="0"/>
        <w:spacing w:line="440" w:lineRule="exact"/>
        <w:jc w:val="left"/>
        <w:rPr>
          <w:sz w:val="24"/>
        </w:rPr>
      </w:pPr>
      <w:r>
        <w:rPr>
          <w:rFonts w:hint="eastAsia"/>
          <w:sz w:val="24"/>
        </w:rPr>
        <w:t>十一、国有资本经营预算财政拨款收入支出决算表</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仿宋" w:hAnsi="仿宋" w:eastAsia="仿宋" w:cs="仿宋"/>
          <w:b w:val="0"/>
          <w:bCs w:val="0"/>
          <w:color w:val="auto"/>
          <w:sz w:val="24"/>
          <w:highlight w:val="none"/>
          <w:lang w:val="en-US" w:eastAsia="zh-CN"/>
        </w:rPr>
        <w:t>21</w:t>
      </w:r>
    </w:p>
    <w:p>
      <w:pPr>
        <w:pStyle w:val="12"/>
        <w:adjustRightInd w:val="0"/>
        <w:snapToGrid w:val="0"/>
        <w:spacing w:line="440" w:lineRule="exact"/>
        <w:jc w:val="left"/>
        <w:rPr>
          <w:sz w:val="24"/>
        </w:rPr>
      </w:pPr>
      <w:r>
        <w:rPr>
          <w:rFonts w:hint="eastAsia"/>
          <w:sz w:val="24"/>
        </w:rPr>
        <w:t>十二、国有资本经营预算财政拨款支出决算表</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仿宋" w:hAnsi="仿宋" w:eastAsia="仿宋" w:cs="仿宋"/>
          <w:b w:val="0"/>
          <w:bCs w:val="0"/>
          <w:color w:val="auto"/>
          <w:sz w:val="24"/>
          <w:highlight w:val="none"/>
          <w:lang w:val="en-US" w:eastAsia="zh-CN"/>
        </w:rPr>
        <w:t>21</w:t>
      </w:r>
    </w:p>
    <w:p>
      <w:pPr>
        <w:pStyle w:val="12"/>
        <w:adjustRightInd w:val="0"/>
        <w:snapToGrid w:val="0"/>
        <w:spacing w:line="440" w:lineRule="exact"/>
        <w:jc w:val="left"/>
        <w:rPr>
          <w:sz w:val="24"/>
        </w:rPr>
      </w:pPr>
      <w:r>
        <w:rPr>
          <w:rFonts w:hint="eastAsia"/>
          <w:sz w:val="24"/>
        </w:rPr>
        <w:t>十三、财政拨款“三公”经费支出决算表</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微软雅黑" w:hAnsi="微软雅黑" w:eastAsia="微软雅黑" w:cs="微软雅黑"/>
          <w:color w:val="auto"/>
          <w:sz w:val="24"/>
          <w:highlight w:val="none"/>
          <w:lang w:eastAsia="zh-CN"/>
        </w:rPr>
        <w:t>…………</w:t>
      </w:r>
      <w:r>
        <w:rPr>
          <w:rFonts w:hint="eastAsia" w:ascii="微软雅黑" w:hAnsi="微软雅黑" w:eastAsia="微软雅黑" w:cs="微软雅黑"/>
          <w:color w:val="auto"/>
          <w:sz w:val="24"/>
          <w:highlight w:val="none"/>
          <w:lang w:val="en-US" w:eastAsia="zh-CN"/>
        </w:rPr>
        <w:t>.............</w:t>
      </w:r>
      <w:r>
        <w:rPr>
          <w:rFonts w:hint="eastAsia" w:ascii="仿宋" w:hAnsi="仿宋" w:eastAsia="仿宋" w:cs="仿宋"/>
          <w:b w:val="0"/>
          <w:bCs w:val="0"/>
          <w:color w:val="auto"/>
          <w:sz w:val="24"/>
          <w:highlight w:val="none"/>
          <w:lang w:val="en-US" w:eastAsia="zh-CN"/>
        </w:rPr>
        <w:t>21</w:t>
      </w:r>
    </w:p>
    <w:p>
      <w:pPr>
        <w:widowControl/>
        <w:adjustRightInd w:val="0"/>
        <w:snapToGrid w:val="0"/>
        <w:spacing w:line="440" w:lineRule="exact"/>
        <w:ind w:firstLine="1320" w:firstLineChars="550"/>
        <w:jc w:val="left"/>
        <w:rPr>
          <w:rFonts w:ascii="仿宋" w:hAnsi="仿宋" w:eastAsia="仿宋"/>
          <w:sz w:val="24"/>
        </w:rPr>
      </w:pP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Style w:val="27"/>
          <w:rFonts w:ascii="黑体" w:hAnsi="黑体" w:eastAsia="黑体"/>
          <w:b/>
          <w:bCs w:val="0"/>
        </w:rPr>
      </w:pPr>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pPr>
        <w:widowControl/>
        <w:jc w:val="left"/>
        <w:rPr>
          <w:rFonts w:ascii="黑体" w:eastAsia="黑体"/>
          <w:sz w:val="32"/>
          <w:szCs w:val="32"/>
        </w:rPr>
      </w:pPr>
    </w:p>
    <w:p>
      <w:pPr>
        <w:pStyle w:val="4"/>
        <w:numPr>
          <w:ilvl w:val="0"/>
          <w:numId w:val="2"/>
        </w:numPr>
        <w:rPr>
          <w:rStyle w:val="28"/>
          <w:rFonts w:ascii="黑体" w:hAnsi="黑体" w:eastAsia="黑体"/>
          <w:b w:val="0"/>
          <w:bCs w:val="0"/>
        </w:rPr>
      </w:pPr>
      <w:bookmarkStart w:id="14" w:name="_Toc15377197"/>
      <w:bookmarkStart w:id="15" w:name="_Toc15396600"/>
      <w:r>
        <w:rPr>
          <w:rStyle w:val="28"/>
          <w:rFonts w:hint="eastAsia" w:ascii="黑体" w:hAnsi="黑体" w:eastAsia="黑体"/>
          <w:b w:val="0"/>
          <w:bCs w:val="0"/>
        </w:rPr>
        <w:t>主要职责</w:t>
      </w:r>
    </w:p>
    <w:p>
      <w:pPr>
        <w:ind w:firstLine="640" w:firstLineChars="200"/>
      </w:pPr>
      <w:r>
        <w:rPr>
          <w:rFonts w:hint="eastAsia" w:ascii="仿宋_GB2312" w:eastAsia="仿宋_GB2312"/>
          <w:bCs/>
          <w:sz w:val="32"/>
          <w:szCs w:val="32"/>
        </w:rPr>
        <w:t>为人民身体健康提供医疗与保健服务。常见病多发病护理、预防保健、卫生人员培训、卫生监督与卫生信息管理</w:t>
      </w:r>
      <w:r>
        <w:rPr>
          <w:rFonts w:hint="eastAsia" w:ascii="仿宋_GB2312" w:eastAsia="仿宋_GB2312"/>
          <w:bCs/>
          <w:sz w:val="32"/>
          <w:szCs w:val="32"/>
          <w:lang w:val="en-US" w:eastAsia="zh-CN"/>
        </w:rPr>
        <w:t>。</w:t>
      </w:r>
    </w:p>
    <w:p>
      <w:pPr>
        <w:pStyle w:val="4"/>
        <w:numPr>
          <w:ilvl w:val="0"/>
          <w:numId w:val="2"/>
        </w:numPr>
        <w:ind w:left="0" w:leftChars="0" w:firstLine="0" w:firstLineChars="0"/>
        <w:rPr>
          <w:rFonts w:hint="eastAsia" w:ascii="黑体" w:hAnsi="黑体" w:eastAsia="黑体"/>
          <w:b w:val="0"/>
        </w:rPr>
      </w:pPr>
      <w:r>
        <w:rPr>
          <w:rFonts w:hint="eastAsia" w:ascii="黑体" w:hAnsi="黑体" w:eastAsia="黑体"/>
          <w:b w:val="0"/>
        </w:rPr>
        <w:t>机构设置</w:t>
      </w:r>
    </w:p>
    <w:p>
      <w:pPr>
        <w:pageBreakBefore w:val="0"/>
        <w:widowControl w:val="0"/>
        <w:numPr>
          <w:ilvl w:val="0"/>
          <w:numId w:val="0"/>
        </w:numPr>
        <w:kinsoku/>
        <w:wordWrap/>
        <w:overflowPunct/>
        <w:topLinePunct w:val="0"/>
        <w:autoSpaceDE/>
        <w:autoSpaceDN/>
        <w:bidi w:val="0"/>
        <w:adjustRightInd w:val="0"/>
        <w:snapToGrid/>
        <w:spacing w:line="578"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大竹县杨家中心卫生院下属二级预算单位0个，其中行政事业单位0个，参照给我一份管理的事业单位0个，其他事业单位0个。</w:t>
      </w:r>
    </w:p>
    <w:p>
      <w:pPr>
        <w:pStyle w:val="33"/>
        <w:keepNext w:val="0"/>
        <w:keepLines w:val="0"/>
        <w:pageBreakBefore w:val="0"/>
        <w:kinsoku/>
        <w:wordWrap/>
        <w:overflowPunct/>
        <w:topLinePunct w:val="0"/>
        <w:autoSpaceDE/>
        <w:autoSpaceDN/>
        <w:bidi w:val="0"/>
        <w:adjustRightInd/>
        <w:snapToGrid/>
        <w:spacing w:line="578" w:lineRule="exact"/>
        <w:ind w:right="0" w:righ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仿宋" w:hAnsi="仿宋" w:eastAsia="仿宋" w:cs="仿宋"/>
          <w:sz w:val="32"/>
          <w:szCs w:val="32"/>
          <w:lang w:val="en-US" w:eastAsia="zh-CN"/>
        </w:rPr>
        <w:t>纳入大竹县杨家中心卫生院2023年度部门决算编制范围的二级预算单位包括：无。</w:t>
      </w:r>
    </w:p>
    <w:p>
      <w:pPr>
        <w:rPr>
          <w:rFonts w:hint="eastAsia"/>
        </w:rPr>
      </w:pPr>
    </w:p>
    <w:p>
      <w:pPr>
        <w:numPr>
          <w:ilvl w:val="0"/>
          <w:numId w:val="0"/>
        </w:numPr>
        <w:ind w:leftChars="0"/>
      </w:pPr>
    </w:p>
    <w:bookmarkEnd w:id="14"/>
    <w:bookmarkEnd w:id="15"/>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7"/>
          <w:rFonts w:ascii="黑体" w:hAnsi="黑体" w:eastAsia="黑体"/>
          <w:b w:val="0"/>
          <w:bCs/>
        </w:rPr>
      </w:pPr>
      <w:bookmarkStart w:id="16" w:name="_Toc15377204"/>
      <w:bookmarkStart w:id="17" w:name="_Toc15396602"/>
      <w:r>
        <w:rPr>
          <w:rFonts w:hint="eastAsia" w:ascii="黑体" w:hAnsi="黑体" w:eastAsia="黑体"/>
          <w:b w:val="0"/>
        </w:rPr>
        <w:t>第二部分 2023年度</w:t>
      </w:r>
      <w:r>
        <w:rPr>
          <w:rStyle w:val="27"/>
          <w:rFonts w:hint="eastAsia" w:ascii="黑体" w:hAnsi="黑体" w:eastAsia="黑体"/>
          <w:b w:val="0"/>
          <w:bCs/>
        </w:rPr>
        <w:t>单位决算情况说明</w:t>
      </w:r>
      <w:bookmarkEnd w:id="16"/>
      <w:bookmarkEnd w:id="17"/>
    </w:p>
    <w:p/>
    <w:p>
      <w:pPr>
        <w:pStyle w:val="26"/>
        <w:numPr>
          <w:ilvl w:val="0"/>
          <w:numId w:val="3"/>
        </w:numPr>
        <w:spacing w:line="600" w:lineRule="exact"/>
        <w:ind w:firstLineChars="0"/>
        <w:outlineLvl w:val="1"/>
        <w:rPr>
          <w:rStyle w:val="28"/>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rPr>
        <w:t>2300.58</w:t>
      </w:r>
      <w:r>
        <w:rPr>
          <w:rFonts w:hint="eastAsia" w:ascii="仿宋" w:hAnsi="仿宋" w:eastAsia="仿宋"/>
          <w:sz w:val="32"/>
          <w:szCs w:val="32"/>
        </w:rPr>
        <w:t>万元。与2022年度相比，收、支总计各增加</w:t>
      </w:r>
      <w:r>
        <w:rPr>
          <w:rFonts w:hint="eastAsia" w:ascii="仿宋" w:hAnsi="仿宋" w:eastAsia="仿宋"/>
          <w:sz w:val="32"/>
          <w:szCs w:val="32"/>
          <w:lang w:val="en-US" w:eastAsia="zh-CN"/>
        </w:rPr>
        <w:t>463.61</w:t>
      </w:r>
      <w:r>
        <w:rPr>
          <w:rFonts w:hint="eastAsia" w:ascii="仿宋" w:hAnsi="仿宋" w:eastAsia="仿宋"/>
          <w:sz w:val="32"/>
          <w:szCs w:val="32"/>
        </w:rPr>
        <w:t>万元，增长</w:t>
      </w:r>
      <w:r>
        <w:rPr>
          <w:rFonts w:hint="eastAsia" w:ascii="仿宋" w:hAnsi="仿宋" w:eastAsia="仿宋"/>
          <w:sz w:val="32"/>
          <w:szCs w:val="32"/>
          <w:lang w:val="en-US" w:eastAsia="zh-CN"/>
        </w:rPr>
        <w:t>25.24</w:t>
      </w:r>
      <w:r>
        <w:rPr>
          <w:rFonts w:ascii="仿宋" w:hAnsi="仿宋" w:eastAsia="仿宋"/>
          <w:sz w:val="32"/>
          <w:szCs w:val="32"/>
        </w:rPr>
        <w:t>%</w:t>
      </w:r>
      <w:r>
        <w:rPr>
          <w:rFonts w:hint="eastAsia" w:ascii="仿宋" w:hAnsi="仿宋" w:eastAsia="仿宋"/>
          <w:sz w:val="32"/>
          <w:szCs w:val="32"/>
        </w:rPr>
        <w:t>。主要变动原因是</w:t>
      </w:r>
      <w:r>
        <w:rPr>
          <w:rFonts w:hint="default" w:ascii="Times New Roman" w:hAnsi="Times New Roman" w:eastAsia="仿宋" w:cs="Times New Roman"/>
          <w:color w:val="000000"/>
          <w:sz w:val="32"/>
          <w:szCs w:val="32"/>
        </w:rPr>
        <w:t>财政拨款收入</w:t>
      </w:r>
      <w:r>
        <w:rPr>
          <w:rFonts w:hint="eastAsia" w:ascii="Times New Roman" w:hAnsi="Times New Roman" w:eastAsia="仿宋" w:cs="Times New Roman"/>
          <w:color w:val="000000"/>
          <w:sz w:val="32"/>
          <w:szCs w:val="32"/>
          <w:lang w:val="en-US" w:eastAsia="zh-CN"/>
        </w:rPr>
        <w:t>254.56</w:t>
      </w:r>
      <w:r>
        <w:rPr>
          <w:rFonts w:hint="default" w:ascii="Times New Roman" w:hAnsi="Times New Roman" w:eastAsia="仿宋" w:cs="Times New Roman"/>
          <w:color w:val="000000"/>
          <w:sz w:val="32"/>
          <w:szCs w:val="32"/>
        </w:rPr>
        <w:t>万元，比20</w:t>
      </w:r>
      <w:r>
        <w:rPr>
          <w:rFonts w:hint="default" w:ascii="Times New Roman" w:hAnsi="Times New Roman" w:eastAsia="仿宋" w:cs="Times New Roman"/>
          <w:color w:val="000000"/>
          <w:sz w:val="32"/>
          <w:szCs w:val="32"/>
          <w:lang w:val="en-US" w:eastAsia="zh-CN"/>
        </w:rPr>
        <w:t>2</w:t>
      </w:r>
      <w:r>
        <w:rPr>
          <w:rFonts w:hint="eastAsia"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w:t>
      </w:r>
      <w:r>
        <w:rPr>
          <w:rFonts w:hint="eastAsia" w:ascii="仿宋" w:hAnsi="仿宋" w:eastAsia="仿宋"/>
          <w:sz w:val="32"/>
          <w:szCs w:val="32"/>
        </w:rPr>
        <w:t>增加</w:t>
      </w:r>
      <w:r>
        <w:rPr>
          <w:rFonts w:hint="eastAsia" w:ascii="Times New Roman" w:hAnsi="Times New Roman" w:eastAsia="仿宋" w:cs="Times New Roman"/>
          <w:color w:val="000000"/>
          <w:sz w:val="32"/>
          <w:szCs w:val="32"/>
          <w:lang w:val="en-US" w:eastAsia="zh-CN"/>
        </w:rPr>
        <w:t>254.56</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sz w:val="32"/>
          <w:szCs w:val="32"/>
        </w:rPr>
        <w:t>事业收入</w:t>
      </w:r>
      <w:r>
        <w:rPr>
          <w:rFonts w:hint="eastAsia" w:ascii="Times New Roman" w:hAnsi="Times New Roman" w:eastAsia="仿宋" w:cs="Times New Roman"/>
          <w:sz w:val="32"/>
          <w:szCs w:val="32"/>
          <w:lang w:val="en-US" w:eastAsia="zh-CN"/>
        </w:rPr>
        <w:t>1801.09</w:t>
      </w:r>
      <w:r>
        <w:rPr>
          <w:rFonts w:hint="default" w:ascii="Times New Roman" w:hAnsi="Times New Roman" w:eastAsia="仿宋" w:cs="Times New Roman"/>
          <w:sz w:val="32"/>
          <w:szCs w:val="32"/>
        </w:rPr>
        <w:t>万元</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比20</w:t>
      </w:r>
      <w:r>
        <w:rPr>
          <w:rFonts w:hint="default"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年</w:t>
      </w:r>
      <w:r>
        <w:rPr>
          <w:rFonts w:hint="default" w:ascii="Times New Roman" w:hAnsi="Times New Roman" w:eastAsia="仿宋" w:cs="Times New Roman"/>
          <w:color w:val="000000"/>
          <w:sz w:val="32"/>
          <w:szCs w:val="32"/>
          <w:lang w:eastAsia="zh-CN"/>
        </w:rPr>
        <w:t>增加</w:t>
      </w:r>
      <w:r>
        <w:rPr>
          <w:rFonts w:hint="eastAsia" w:ascii="Times New Roman" w:hAnsi="Times New Roman" w:eastAsia="仿宋" w:cs="Times New Roman"/>
          <w:color w:val="000000"/>
          <w:sz w:val="32"/>
          <w:szCs w:val="32"/>
          <w:lang w:val="en-US" w:eastAsia="zh-CN"/>
        </w:rPr>
        <w:t>208.79</w:t>
      </w:r>
      <w:r>
        <w:rPr>
          <w:rFonts w:hint="default" w:ascii="Times New Roman" w:hAnsi="Times New Roman" w:eastAsia="仿宋" w:cs="Times New Roman"/>
          <w:sz w:val="32"/>
          <w:szCs w:val="32"/>
        </w:rPr>
        <w:t>万元；基本支出</w:t>
      </w:r>
      <w:r>
        <w:rPr>
          <w:rFonts w:hint="eastAsia" w:ascii="Times New Roman" w:hAnsi="Times New Roman" w:eastAsia="仿宋" w:cs="Times New Roman"/>
          <w:sz w:val="32"/>
          <w:szCs w:val="32"/>
          <w:lang w:val="en-US" w:eastAsia="zh-CN"/>
        </w:rPr>
        <w:t>2179.9</w:t>
      </w:r>
      <w:r>
        <w:rPr>
          <w:rFonts w:hint="default" w:ascii="Times New Roman" w:hAnsi="Times New Roman" w:eastAsia="仿宋" w:cs="Times New Roman"/>
          <w:sz w:val="32"/>
          <w:szCs w:val="32"/>
        </w:rPr>
        <w:t>万元，比20</w:t>
      </w:r>
      <w:r>
        <w:rPr>
          <w:rFonts w:hint="default"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年</w:t>
      </w:r>
      <w:r>
        <w:rPr>
          <w:rFonts w:hint="default" w:ascii="Times New Roman" w:hAnsi="Times New Roman" w:eastAsia="仿宋" w:cs="Times New Roman"/>
          <w:color w:val="000000"/>
          <w:sz w:val="32"/>
          <w:szCs w:val="32"/>
          <w:lang w:eastAsia="zh-CN"/>
        </w:rPr>
        <w:t>增加</w:t>
      </w:r>
      <w:r>
        <w:rPr>
          <w:rFonts w:hint="eastAsia" w:ascii="Times New Roman" w:hAnsi="Times New Roman" w:eastAsia="仿宋" w:cs="Times New Roman"/>
          <w:sz w:val="32"/>
          <w:szCs w:val="32"/>
          <w:lang w:val="en-US" w:eastAsia="zh-CN"/>
        </w:rPr>
        <w:t>587.6</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w:t>
      </w:r>
      <w:r>
        <w:rPr>
          <w:rFonts w:hint="eastAsia" w:ascii="Times New Roman" w:hAnsi="Times New Roman" w:eastAsia="仿宋" w:cs="Times New Roman"/>
          <w:sz w:val="32"/>
          <w:szCs w:val="32"/>
          <w:lang w:eastAsia="zh-CN"/>
        </w:rPr>
        <w:t>年末结转和结余</w:t>
      </w:r>
      <w:r>
        <w:rPr>
          <w:rFonts w:hint="eastAsia" w:ascii="Times New Roman" w:hAnsi="Times New Roman" w:eastAsia="仿宋" w:cs="Times New Roman"/>
          <w:sz w:val="32"/>
          <w:szCs w:val="32"/>
          <w:lang w:val="en-US" w:eastAsia="zh-CN"/>
        </w:rPr>
        <w:t>120.68</w:t>
      </w:r>
      <w:r>
        <w:rPr>
          <w:rFonts w:hint="default" w:ascii="Times New Roman" w:hAnsi="Times New Roman" w:eastAsia="仿宋" w:cs="Times New Roman"/>
          <w:sz w:val="32"/>
          <w:szCs w:val="32"/>
        </w:rPr>
        <w:t>万元，比20</w:t>
      </w:r>
      <w:r>
        <w:rPr>
          <w:rFonts w:hint="default"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年</w:t>
      </w:r>
      <w:r>
        <w:rPr>
          <w:rFonts w:hint="eastAsia" w:ascii="Times New Roman" w:hAnsi="Times New Roman" w:eastAsia="仿宋" w:cs="Times New Roman"/>
          <w:color w:val="000000"/>
          <w:sz w:val="32"/>
          <w:szCs w:val="32"/>
          <w:lang w:eastAsia="zh-CN"/>
        </w:rPr>
        <w:t>减少</w:t>
      </w:r>
      <w:r>
        <w:rPr>
          <w:rFonts w:hint="eastAsia" w:ascii="Times New Roman" w:hAnsi="Times New Roman" w:eastAsia="仿宋" w:cs="Times New Roman"/>
          <w:color w:val="000000"/>
          <w:sz w:val="32"/>
          <w:szCs w:val="32"/>
          <w:lang w:val="en-US" w:eastAsia="zh-CN"/>
        </w:rPr>
        <w:t>123.99</w:t>
      </w:r>
      <w:r>
        <w:rPr>
          <w:rFonts w:hint="default" w:ascii="Times New Roman" w:hAnsi="Times New Roman" w:eastAsia="仿宋" w:cs="Times New Roman"/>
          <w:sz w:val="32"/>
          <w:szCs w:val="32"/>
        </w:rPr>
        <w:t>万元。</w:t>
      </w:r>
    </w:p>
    <w:p>
      <w:pPr>
        <w:spacing w:line="600" w:lineRule="exact"/>
        <w:jc w:val="left"/>
        <w:rPr>
          <w:rFonts w:ascii="仿宋_GB2312" w:eastAsia="仿宋_GB2312"/>
          <w:sz w:val="32"/>
          <w:szCs w:val="32"/>
        </w:rPr>
      </w:pPr>
      <w:r>
        <w:rPr>
          <w:rFonts w:ascii="宋体" w:hAnsi="宋体" w:eastAsia="宋体" w:cs="宋体"/>
          <w:sz w:val="24"/>
          <w:szCs w:val="24"/>
        </w:rPr>
        <w:drawing>
          <wp:anchor distT="0" distB="0" distL="114300" distR="114300" simplePos="0" relativeHeight="251658240" behindDoc="0" locked="0" layoutInCell="1" allowOverlap="1">
            <wp:simplePos x="0" y="0"/>
            <wp:positionH relativeFrom="column">
              <wp:posOffset>-144780</wp:posOffset>
            </wp:positionH>
            <wp:positionV relativeFrom="paragraph">
              <wp:posOffset>55880</wp:posOffset>
            </wp:positionV>
            <wp:extent cx="5638165" cy="3010535"/>
            <wp:effectExtent l="0" t="0" r="635" b="6985"/>
            <wp:wrapSquare wrapText="bothSides"/>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6"/>
                    <a:stretch>
                      <a:fillRect/>
                    </a:stretch>
                  </pic:blipFill>
                  <pic:spPr>
                    <a:xfrm>
                      <a:off x="0" y="0"/>
                      <a:ext cx="5638165" cy="3010535"/>
                    </a:xfrm>
                    <a:prstGeom prst="rect">
                      <a:avLst/>
                    </a:prstGeom>
                    <a:noFill/>
                    <a:ln w="9525">
                      <a:noFill/>
                    </a:ln>
                  </pic:spPr>
                </pic:pic>
              </a:graphicData>
            </a:graphic>
          </wp:anchor>
        </w:drawing>
      </w:r>
    </w:p>
    <w:p>
      <w:pPr>
        <w:pStyle w:val="26"/>
        <w:numPr>
          <w:ilvl w:val="0"/>
          <w:numId w:val="3"/>
        </w:numPr>
        <w:spacing w:line="600" w:lineRule="exact"/>
        <w:ind w:firstLineChars="0"/>
        <w:outlineLvl w:val="1"/>
        <w:rPr>
          <w:rStyle w:val="28"/>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pPr>
        <w:spacing w:line="600" w:lineRule="exact"/>
        <w:ind w:firstLine="640" w:firstLineChars="200"/>
        <w:outlineLvl w:val="1"/>
        <w:rPr>
          <w:rFonts w:hint="eastAsia" w:ascii="仿宋" w:hAnsi="仿宋" w:eastAsia="仿宋"/>
          <w:sz w:val="32"/>
          <w:szCs w:val="32"/>
        </w:rPr>
      </w:pPr>
      <w:r>
        <w:rPr>
          <w:rFonts w:hint="eastAsia" w:ascii="仿宋" w:hAnsi="仿宋" w:eastAsia="仿宋"/>
          <w:sz w:val="32"/>
          <w:szCs w:val="32"/>
        </w:rPr>
        <w:t>2023年度本年收入合计</w:t>
      </w:r>
      <w:r>
        <w:rPr>
          <w:rFonts w:ascii="仿宋" w:hAnsi="仿宋" w:eastAsia="仿宋"/>
          <w:b/>
          <w:sz w:val="32"/>
          <w:szCs w:val="32"/>
        </w:rPr>
        <w:t>2055.91</w:t>
      </w:r>
      <w:r>
        <w:rPr>
          <w:rFonts w:hint="eastAsia" w:ascii="仿宋" w:hAnsi="仿宋" w:eastAsia="仿宋"/>
          <w:sz w:val="32"/>
          <w:szCs w:val="32"/>
        </w:rPr>
        <w:t>万元，其中：一般公共预算财政拨款收入</w:t>
      </w:r>
      <w:r>
        <w:rPr>
          <w:rFonts w:ascii="仿宋" w:hAnsi="仿宋" w:eastAsia="仿宋"/>
          <w:b/>
          <w:sz w:val="32"/>
          <w:szCs w:val="32"/>
        </w:rPr>
        <w:t>254.56</w:t>
      </w:r>
      <w:r>
        <w:rPr>
          <w:rFonts w:hint="eastAsia" w:ascii="仿宋" w:hAnsi="仿宋" w:eastAsia="仿宋"/>
          <w:sz w:val="32"/>
          <w:szCs w:val="32"/>
        </w:rPr>
        <w:t>万元，占</w:t>
      </w:r>
      <w:r>
        <w:rPr>
          <w:rFonts w:ascii="仿宋" w:hAnsi="仿宋" w:eastAsia="仿宋"/>
          <w:b/>
          <w:sz w:val="32"/>
          <w:szCs w:val="32"/>
        </w:rPr>
        <w:t>12.38%</w:t>
      </w:r>
      <w:r>
        <w:rPr>
          <w:rFonts w:hint="eastAsia" w:ascii="仿宋" w:hAnsi="仿宋" w:eastAsia="仿宋"/>
          <w:sz w:val="32"/>
          <w:szCs w:val="32"/>
        </w:rPr>
        <w:t>；政府性基金预算财政</w:t>
      </w:r>
    </w:p>
    <w:p>
      <w:pPr>
        <w:spacing w:line="600" w:lineRule="exact"/>
        <w:outlineLvl w:val="1"/>
        <w:rPr>
          <w:rFonts w:ascii="仿宋" w:hAnsi="仿宋" w:eastAsia="仿宋"/>
          <w:sz w:val="32"/>
          <w:szCs w:val="32"/>
        </w:rPr>
      </w:pPr>
      <w:r>
        <w:rPr>
          <w:rFonts w:hint="eastAsia" w:ascii="仿宋" w:hAnsi="仿宋" w:eastAsia="仿宋"/>
          <w:sz w:val="32"/>
          <w:szCs w:val="32"/>
        </w:rPr>
        <w:t>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1801.09</w:t>
      </w:r>
      <w:r>
        <w:rPr>
          <w:rFonts w:hint="eastAsia" w:ascii="仿宋" w:hAnsi="仿宋" w:eastAsia="仿宋"/>
          <w:sz w:val="32"/>
          <w:szCs w:val="32"/>
        </w:rPr>
        <w:t>万元，占</w:t>
      </w:r>
      <w:r>
        <w:rPr>
          <w:rFonts w:ascii="仿宋" w:hAnsi="仿宋" w:eastAsia="仿宋"/>
          <w:b/>
          <w:sz w:val="32"/>
          <w:szCs w:val="32"/>
        </w:rPr>
        <w:t>87.6</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0.26</w:t>
      </w:r>
      <w:r>
        <w:rPr>
          <w:rFonts w:hint="eastAsia" w:ascii="仿宋" w:hAnsi="仿宋" w:eastAsia="仿宋"/>
          <w:sz w:val="32"/>
          <w:szCs w:val="32"/>
        </w:rPr>
        <w:t>万元，占</w:t>
      </w:r>
      <w:r>
        <w:rPr>
          <w:rFonts w:ascii="仿宋" w:hAnsi="仿宋" w:eastAsia="仿宋"/>
          <w:b/>
          <w:sz w:val="32"/>
          <w:szCs w:val="32"/>
        </w:rPr>
        <w:t>0.01</w:t>
      </w:r>
      <w:r>
        <w:rPr>
          <w:rFonts w:ascii="仿宋" w:hAnsi="仿宋" w:eastAsia="仿宋"/>
          <w:sz w:val="32"/>
          <w:szCs w:val="32"/>
        </w:rPr>
        <w:t>%</w:t>
      </w:r>
    </w:p>
    <w:p>
      <w:pPr>
        <w:spacing w:line="600" w:lineRule="exact"/>
        <w:ind w:firstLine="480" w:firstLineChars="200"/>
        <w:outlineLvl w:val="1"/>
        <w:rPr>
          <w:rFonts w:hint="eastAsia" w:ascii="仿宋" w:hAnsi="仿宋" w:eastAsia="仿宋"/>
          <w:b/>
          <w:sz w:val="32"/>
          <w:szCs w:val="32"/>
        </w:rPr>
      </w:pPr>
      <w:r>
        <w:rPr>
          <w:rFonts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60960</wp:posOffset>
            </wp:positionH>
            <wp:positionV relativeFrom="paragraph">
              <wp:posOffset>419100</wp:posOffset>
            </wp:positionV>
            <wp:extent cx="5680710" cy="3648075"/>
            <wp:effectExtent l="0" t="0" r="3810" b="9525"/>
            <wp:wrapSquare wrapText="bothSides"/>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7"/>
                    <a:stretch>
                      <a:fillRect/>
                    </a:stretch>
                  </pic:blipFill>
                  <pic:spPr>
                    <a:xfrm>
                      <a:off x="0" y="0"/>
                      <a:ext cx="5680710" cy="3648075"/>
                    </a:xfrm>
                    <a:prstGeom prst="rect">
                      <a:avLst/>
                    </a:prstGeom>
                    <a:noFill/>
                    <a:ln w="9525">
                      <a:noFill/>
                    </a:ln>
                  </pic:spPr>
                </pic:pic>
              </a:graphicData>
            </a:graphic>
          </wp:anchor>
        </w:drawing>
      </w:r>
    </w:p>
    <w:p>
      <w:pPr>
        <w:spacing w:line="600" w:lineRule="exact"/>
        <w:rPr>
          <w:rFonts w:ascii="仿宋_GB2312" w:eastAsia="仿宋_GB2312"/>
          <w:sz w:val="32"/>
          <w:szCs w:val="32"/>
        </w:rPr>
      </w:pPr>
    </w:p>
    <w:p>
      <w:pPr>
        <w:pStyle w:val="26"/>
        <w:numPr>
          <w:ilvl w:val="0"/>
          <w:numId w:val="3"/>
        </w:numPr>
        <w:spacing w:line="600" w:lineRule="exact"/>
        <w:ind w:firstLineChars="0"/>
        <w:outlineLvl w:val="1"/>
        <w:rPr>
          <w:rStyle w:val="28"/>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pPr>
        <w:spacing w:line="600" w:lineRule="exact"/>
        <w:ind w:firstLine="640" w:firstLineChars="200"/>
        <w:outlineLvl w:val="1"/>
        <w:rPr>
          <w:rFonts w:hint="eastAsia" w:ascii="仿宋" w:hAnsi="仿宋" w:eastAsia="仿宋"/>
          <w:sz w:val="32"/>
          <w:szCs w:val="32"/>
        </w:rPr>
      </w:pPr>
      <w:r>
        <w:rPr>
          <w:rFonts w:hint="eastAsia" w:ascii="仿宋" w:hAnsi="仿宋" w:eastAsia="仿宋"/>
          <w:sz w:val="32"/>
          <w:szCs w:val="32"/>
        </w:rPr>
        <w:t>2023年度本年支出合计</w:t>
      </w:r>
      <w:r>
        <w:rPr>
          <w:rFonts w:ascii="仿宋" w:hAnsi="仿宋" w:eastAsia="仿宋"/>
          <w:b/>
          <w:sz w:val="32"/>
          <w:szCs w:val="32"/>
        </w:rPr>
        <w:t>2179.9</w:t>
      </w:r>
      <w:r>
        <w:rPr>
          <w:rFonts w:hint="eastAsia" w:ascii="仿宋" w:hAnsi="仿宋" w:eastAsia="仿宋"/>
          <w:sz w:val="32"/>
          <w:szCs w:val="32"/>
        </w:rPr>
        <w:t>万元，其中：基本支出</w:t>
      </w:r>
      <w:r>
        <w:rPr>
          <w:rFonts w:ascii="仿宋" w:hAnsi="仿宋" w:eastAsia="仿宋"/>
          <w:b/>
          <w:sz w:val="32"/>
          <w:szCs w:val="32"/>
        </w:rPr>
        <w:t>2179.9</w:t>
      </w:r>
      <w:r>
        <w:rPr>
          <w:rFonts w:hint="eastAsia" w:ascii="仿宋" w:hAnsi="仿宋" w:eastAsia="仿宋"/>
          <w:sz w:val="32"/>
          <w:szCs w:val="32"/>
        </w:rPr>
        <w:t>万元，占</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；项目支出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pPr>
        <w:spacing w:line="600" w:lineRule="exact"/>
        <w:outlineLvl w:val="1"/>
        <w:rPr>
          <w:rFonts w:ascii="仿宋_GB2312" w:eastAsia="仿宋_GB2312"/>
          <w:sz w:val="32"/>
          <w:szCs w:val="32"/>
        </w:rPr>
      </w:pPr>
    </w:p>
    <w:p>
      <w:pPr>
        <w:spacing w:line="600" w:lineRule="exact"/>
        <w:ind w:firstLine="480" w:firstLineChars="200"/>
        <w:outlineLvl w:val="1"/>
        <w:rPr>
          <w:rFonts w:ascii="仿宋_GB2312" w:eastAsia="仿宋_GB2312"/>
          <w:sz w:val="32"/>
          <w:szCs w:val="32"/>
        </w:rPr>
      </w:pPr>
      <w:r>
        <w:rPr>
          <w:rFonts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167640</wp:posOffset>
            </wp:positionH>
            <wp:positionV relativeFrom="paragraph">
              <wp:posOffset>190500</wp:posOffset>
            </wp:positionV>
            <wp:extent cx="5191125" cy="3676650"/>
            <wp:effectExtent l="0" t="0" r="5715" b="11430"/>
            <wp:wrapSquare wrapText="bothSides"/>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8"/>
                    <a:stretch>
                      <a:fillRect/>
                    </a:stretch>
                  </pic:blipFill>
                  <pic:spPr>
                    <a:xfrm>
                      <a:off x="0" y="0"/>
                      <a:ext cx="5191125" cy="3676650"/>
                    </a:xfrm>
                    <a:prstGeom prst="rect">
                      <a:avLst/>
                    </a:prstGeom>
                    <a:noFill/>
                    <a:ln w="9525">
                      <a:noFill/>
                    </a:ln>
                  </pic:spPr>
                </pic:pic>
              </a:graphicData>
            </a:graphic>
          </wp:anchor>
        </w:drawing>
      </w:r>
    </w:p>
    <w:p>
      <w:pPr>
        <w:spacing w:line="600" w:lineRule="exact"/>
        <w:ind w:firstLine="640" w:firstLineChars="200"/>
        <w:outlineLvl w:val="1"/>
        <w:rPr>
          <w:rStyle w:val="28"/>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2023年度财政拨款收、支总计均为</w:t>
      </w:r>
      <w:r>
        <w:rPr>
          <w:rFonts w:ascii="仿宋" w:hAnsi="仿宋" w:eastAsia="仿宋"/>
          <w:b/>
          <w:sz w:val="32"/>
          <w:szCs w:val="32"/>
        </w:rPr>
        <w:t>254.56</w:t>
      </w:r>
      <w:r>
        <w:rPr>
          <w:rFonts w:hint="eastAsia" w:ascii="仿宋" w:hAnsi="仿宋" w:eastAsia="仿宋"/>
          <w:sz w:val="32"/>
          <w:szCs w:val="32"/>
        </w:rPr>
        <w:t>万元。与2022年度相比，财政拨款收、支总计各增加</w:t>
      </w:r>
      <w:r>
        <w:rPr>
          <w:rFonts w:hint="eastAsia" w:ascii="仿宋" w:hAnsi="仿宋" w:eastAsia="仿宋"/>
          <w:sz w:val="32"/>
          <w:szCs w:val="32"/>
          <w:lang w:val="en-US" w:eastAsia="zh-CN"/>
        </w:rPr>
        <w:t>254.56</w:t>
      </w:r>
      <w:r>
        <w:rPr>
          <w:rFonts w:hint="eastAsia" w:ascii="仿宋" w:hAnsi="仿宋" w:eastAsia="仿宋"/>
          <w:sz w:val="32"/>
          <w:szCs w:val="32"/>
        </w:rPr>
        <w:t>万元，增长</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olor w:val="auto"/>
          <w:sz w:val="32"/>
          <w:szCs w:val="32"/>
          <w:highlight w:val="none"/>
          <w:lang w:val="en-US" w:eastAsia="zh-CN"/>
        </w:rPr>
        <w:t>2022年</w:t>
      </w:r>
      <w:r>
        <w:rPr>
          <w:rFonts w:hint="eastAsia" w:ascii="仿宋" w:hAnsi="仿宋" w:eastAsia="仿宋"/>
          <w:color w:val="auto"/>
          <w:sz w:val="32"/>
          <w:szCs w:val="32"/>
          <w:highlight w:val="none"/>
        </w:rPr>
        <w:t>一般公共预算财政拨款收入</w:t>
      </w:r>
      <w:r>
        <w:rPr>
          <w:rFonts w:hint="eastAsia" w:ascii="仿宋" w:hAnsi="仿宋" w:eastAsia="仿宋"/>
          <w:color w:val="auto"/>
          <w:sz w:val="32"/>
          <w:szCs w:val="32"/>
          <w:highlight w:val="none"/>
          <w:lang w:val="en-US" w:eastAsia="zh-CN"/>
        </w:rPr>
        <w:t>由大竹县卫生健康局统一上报。</w:t>
      </w:r>
    </w:p>
    <w:p>
      <w:pPr>
        <w:spacing w:line="600" w:lineRule="exact"/>
        <w:ind w:firstLine="640"/>
        <w:rPr>
          <w:rFonts w:hint="eastAsia" w:ascii="仿宋" w:hAnsi="仿宋" w:eastAsia="仿宋"/>
          <w:sz w:val="32"/>
          <w:szCs w:val="32"/>
        </w:rPr>
      </w:pPr>
    </w:p>
    <w:p>
      <w:pPr>
        <w:spacing w:line="600" w:lineRule="exact"/>
        <w:ind w:firstLine="640"/>
        <w:rPr>
          <w:rFonts w:hint="eastAsia" w:ascii="仿宋" w:hAnsi="仿宋" w:eastAsia="仿宋"/>
          <w:sz w:val="32"/>
          <w:szCs w:val="32"/>
        </w:rPr>
      </w:pPr>
      <w:r>
        <w:rPr>
          <w:rFonts w:ascii="宋体" w:hAnsi="宋体" w:eastAsia="宋体" w:cs="宋体"/>
          <w:sz w:val="24"/>
          <w:szCs w:val="24"/>
        </w:rPr>
        <w:drawing>
          <wp:anchor distT="0" distB="0" distL="114300" distR="114300" simplePos="0" relativeHeight="251665408" behindDoc="0" locked="0" layoutInCell="1" allowOverlap="1">
            <wp:simplePos x="0" y="0"/>
            <wp:positionH relativeFrom="column">
              <wp:posOffset>-175260</wp:posOffset>
            </wp:positionH>
            <wp:positionV relativeFrom="paragraph">
              <wp:posOffset>-5977890</wp:posOffset>
            </wp:positionV>
            <wp:extent cx="5572125" cy="3619500"/>
            <wp:effectExtent l="0" t="0" r="5715" b="7620"/>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5572125" cy="3619500"/>
                    </a:xfrm>
                    <a:prstGeom prst="rect">
                      <a:avLst/>
                    </a:prstGeom>
                    <a:noFill/>
                    <a:ln w="9525">
                      <a:noFill/>
                    </a:ln>
                  </pic:spPr>
                </pic:pic>
              </a:graphicData>
            </a:graphic>
          </wp:anchor>
        </w:drawing>
      </w:r>
    </w:p>
    <w:p>
      <w:pPr>
        <w:spacing w:line="600" w:lineRule="exact"/>
        <w:rPr>
          <w:rFonts w:hint="eastAsia" w:ascii="仿宋" w:hAnsi="仿宋" w:eastAsia="仿宋"/>
          <w:sz w:val="32"/>
          <w:szCs w:val="32"/>
        </w:rPr>
      </w:pPr>
    </w:p>
    <w:p>
      <w:pPr>
        <w:spacing w:line="600" w:lineRule="exact"/>
        <w:rPr>
          <w:rFonts w:ascii="仿宋" w:hAnsi="仿宋" w:eastAsia="仿宋"/>
          <w:b/>
          <w:sz w:val="32"/>
          <w:szCs w:val="32"/>
        </w:rPr>
      </w:pPr>
      <w:r>
        <w:rPr>
          <w:rFonts w:ascii="宋体" w:hAnsi="宋体" w:eastAsia="宋体" w:cs="宋体"/>
          <w:sz w:val="24"/>
          <w:szCs w:val="24"/>
        </w:rPr>
        <w:drawing>
          <wp:anchor distT="0" distB="0" distL="114300" distR="114300" simplePos="0" relativeHeight="251661312" behindDoc="0" locked="0" layoutInCell="1" allowOverlap="1">
            <wp:simplePos x="0" y="0"/>
            <wp:positionH relativeFrom="column">
              <wp:posOffset>-175260</wp:posOffset>
            </wp:positionH>
            <wp:positionV relativeFrom="paragraph">
              <wp:posOffset>324485</wp:posOffset>
            </wp:positionV>
            <wp:extent cx="5572125" cy="3619500"/>
            <wp:effectExtent l="0" t="0" r="5715" b="7620"/>
            <wp:wrapSquare wrapText="bothSides"/>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9"/>
                    <a:stretch>
                      <a:fillRect/>
                    </a:stretch>
                  </pic:blipFill>
                  <pic:spPr>
                    <a:xfrm>
                      <a:off x="0" y="0"/>
                      <a:ext cx="5572125" cy="3619500"/>
                    </a:xfrm>
                    <a:prstGeom prst="rect">
                      <a:avLst/>
                    </a:prstGeom>
                    <a:noFill/>
                    <a:ln w="9525">
                      <a:noFill/>
                    </a:ln>
                  </pic:spPr>
                </pic:pic>
              </a:graphicData>
            </a:graphic>
          </wp:anchor>
        </w:drawing>
      </w:r>
    </w:p>
    <w:p>
      <w:pPr>
        <w:spacing w:line="600" w:lineRule="exact"/>
        <w:ind w:firstLine="640" w:firstLineChars="200"/>
        <w:outlineLvl w:val="1"/>
        <w:rPr>
          <w:rStyle w:val="28"/>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sz w:val="32"/>
          <w:szCs w:val="32"/>
        </w:rPr>
        <w:t>2023年度一般公共预算财政拨款支出</w:t>
      </w:r>
      <w:r>
        <w:rPr>
          <w:rFonts w:ascii="仿宋" w:hAnsi="仿宋" w:eastAsia="仿宋"/>
          <w:b/>
          <w:sz w:val="32"/>
          <w:szCs w:val="32"/>
        </w:rPr>
        <w:t>254.56</w:t>
      </w:r>
      <w:r>
        <w:rPr>
          <w:rFonts w:hint="eastAsia" w:ascii="仿宋" w:hAnsi="仿宋" w:eastAsia="仿宋"/>
          <w:sz w:val="32"/>
          <w:szCs w:val="32"/>
        </w:rPr>
        <w:t>万元，占本年支出合计的</w:t>
      </w:r>
      <w:r>
        <w:rPr>
          <w:rFonts w:ascii="仿宋" w:hAnsi="仿宋" w:eastAsia="仿宋"/>
          <w:b/>
          <w:sz w:val="32"/>
          <w:szCs w:val="32"/>
        </w:rPr>
        <w:t>11.67</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254.56</w:t>
      </w:r>
      <w:r>
        <w:rPr>
          <w:rFonts w:hint="eastAsia" w:ascii="仿宋" w:hAnsi="仿宋" w:eastAsia="仿宋"/>
          <w:sz w:val="32"/>
          <w:szCs w:val="32"/>
        </w:rPr>
        <w:t>万元，增长</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color w:val="auto"/>
          <w:sz w:val="32"/>
          <w:szCs w:val="32"/>
          <w:highlight w:val="none"/>
        </w:rPr>
        <w:t>一般公共预算财政拨款</w:t>
      </w:r>
      <w:r>
        <w:rPr>
          <w:rFonts w:hint="eastAsia" w:ascii="仿宋" w:hAnsi="仿宋" w:eastAsia="仿宋"/>
          <w:color w:val="auto"/>
          <w:sz w:val="32"/>
          <w:szCs w:val="32"/>
          <w:highlight w:val="none"/>
          <w:lang w:val="en-US" w:eastAsia="zh-CN"/>
        </w:rPr>
        <w:t>支出由大竹县卫生健康局统一上报。</w:t>
      </w:r>
    </w:p>
    <w:p>
      <w:pPr>
        <w:pStyle w:val="2"/>
        <w:rPr>
          <w:rFonts w:ascii="仿宋" w:hAnsi="仿宋" w:eastAsia="仿宋"/>
          <w:sz w:val="32"/>
          <w:szCs w:val="32"/>
        </w:rPr>
      </w:pPr>
      <w:r>
        <w:rPr>
          <w:rFonts w:ascii="宋体" w:hAnsi="宋体" w:eastAsia="宋体" w:cs="宋体"/>
          <w:sz w:val="24"/>
          <w:szCs w:val="24"/>
        </w:rPr>
        <w:drawing>
          <wp:inline distT="0" distB="0" distL="114300" distR="114300">
            <wp:extent cx="5629275" cy="3686175"/>
            <wp:effectExtent l="0" t="0" r="9525" b="1905"/>
            <wp:docPr id="11"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56"/>
                    <pic:cNvPicPr>
                      <a:picLocks noChangeAspect="1"/>
                    </pic:cNvPicPr>
                  </pic:nvPicPr>
                  <pic:blipFill>
                    <a:blip r:embed="rId10"/>
                    <a:stretch>
                      <a:fillRect/>
                    </a:stretch>
                  </pic:blipFill>
                  <pic:spPr>
                    <a:xfrm>
                      <a:off x="0" y="0"/>
                      <a:ext cx="5629275" cy="3686175"/>
                    </a:xfrm>
                    <a:prstGeom prst="rect">
                      <a:avLst/>
                    </a:prstGeom>
                    <a:noFill/>
                    <a:ln w="9525">
                      <a:noFill/>
                    </a:ln>
                  </pic:spPr>
                </pic:pic>
              </a:graphicData>
            </a:graphic>
          </wp:inline>
        </w:drawing>
      </w: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hint="eastAsia" w:ascii="仿宋" w:hAnsi="仿宋" w:eastAsia="仿宋"/>
          <w:sz w:val="32"/>
          <w:szCs w:val="32"/>
        </w:rPr>
      </w:pPr>
      <w:r>
        <w:rPr>
          <w:rFonts w:hint="eastAsia" w:ascii="仿宋" w:hAnsi="仿宋" w:eastAsia="仿宋"/>
          <w:sz w:val="32"/>
          <w:szCs w:val="32"/>
        </w:rPr>
        <w:t>2023年度一般公共预算财政拨款支出</w:t>
      </w:r>
      <w:r>
        <w:rPr>
          <w:rFonts w:ascii="仿宋" w:hAnsi="仿宋" w:eastAsia="仿宋"/>
          <w:b/>
          <w:sz w:val="32"/>
          <w:szCs w:val="32"/>
        </w:rPr>
        <w:t>254.56</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23.87</w:t>
      </w:r>
      <w:r>
        <w:rPr>
          <w:rFonts w:hint="eastAsia" w:ascii="仿宋" w:hAnsi="仿宋" w:eastAsia="仿宋"/>
          <w:sz w:val="32"/>
          <w:szCs w:val="32"/>
        </w:rPr>
        <w:t>万元，占</w:t>
      </w:r>
      <w:r>
        <w:rPr>
          <w:rFonts w:hint="eastAsia" w:ascii="仿宋" w:hAnsi="仿宋" w:eastAsia="仿宋"/>
          <w:sz w:val="32"/>
          <w:szCs w:val="32"/>
          <w:lang w:val="en-US" w:eastAsia="zh-CN"/>
        </w:rPr>
        <w:t>9.38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230.69</w:t>
      </w:r>
      <w:r>
        <w:rPr>
          <w:rFonts w:hint="eastAsia" w:ascii="仿宋" w:hAnsi="仿宋" w:eastAsia="仿宋"/>
          <w:sz w:val="32"/>
          <w:szCs w:val="32"/>
        </w:rPr>
        <w:t>万元，占</w:t>
      </w:r>
      <w:r>
        <w:rPr>
          <w:rFonts w:hint="eastAsia" w:ascii="仿宋" w:hAnsi="仿宋" w:eastAsia="仿宋"/>
          <w:sz w:val="32"/>
          <w:szCs w:val="32"/>
          <w:lang w:val="en-US" w:eastAsia="zh-CN"/>
        </w:rPr>
        <w:t>90.62</w:t>
      </w:r>
      <w:r>
        <w:rPr>
          <w:rFonts w:ascii="仿宋" w:hAnsi="仿宋" w:eastAsia="仿宋"/>
          <w:sz w:val="32"/>
          <w:szCs w:val="32"/>
        </w:rPr>
        <w:t>%</w:t>
      </w:r>
      <w:r>
        <w:rPr>
          <w:rFonts w:hint="eastAsia" w:ascii="仿宋" w:hAnsi="仿宋" w:eastAsia="仿宋"/>
          <w:sz w:val="32"/>
          <w:szCs w:val="32"/>
        </w:rPr>
        <w:t>。</w:t>
      </w:r>
    </w:p>
    <w:p>
      <w:pPr>
        <w:pStyle w:val="2"/>
        <w:rPr>
          <w:rFonts w:ascii="仿宋" w:hAnsi="仿宋" w:eastAsia="仿宋"/>
          <w:sz w:val="32"/>
          <w:szCs w:val="32"/>
        </w:rPr>
      </w:pPr>
      <w:r>
        <w:drawing>
          <wp:inline distT="0" distB="0" distL="114300" distR="114300">
            <wp:extent cx="4798060" cy="2926080"/>
            <wp:effectExtent l="4445" t="5080" r="13335" b="1016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bookmarkStart w:id="31" w:name="_Toc15377444"/>
      <w:bookmarkStart w:id="32" w:name="_Toc15378460"/>
      <w:bookmarkStart w:id="33" w:name="_Toc15377213"/>
      <w:r>
        <w:rPr>
          <w:rFonts w:hint="eastAsia" w:ascii="仿宋" w:hAnsi="仿宋" w:eastAsia="仿宋"/>
          <w:b/>
          <w:sz w:val="32"/>
          <w:szCs w:val="32"/>
        </w:rPr>
        <w:t>2023年度一般公共预算支出决算数为</w:t>
      </w:r>
      <w:r>
        <w:rPr>
          <w:rFonts w:ascii="仿宋" w:hAnsi="仿宋" w:eastAsia="仿宋"/>
          <w:b/>
          <w:sz w:val="32"/>
          <w:szCs w:val="32"/>
        </w:rPr>
        <w:t>254.56</w:t>
      </w:r>
      <w:r>
        <w:rPr>
          <w:rFonts w:hint="eastAsia" w:ascii="仿宋" w:hAnsi="仿宋" w:eastAsia="仿宋"/>
          <w:sz w:val="32"/>
          <w:szCs w:val="32"/>
        </w:rPr>
        <w:t>，</w:t>
      </w:r>
      <w:r>
        <w:rPr>
          <w:rStyle w:val="16"/>
          <w:rFonts w:hint="eastAsia" w:ascii="仿宋" w:hAnsi="仿宋" w:eastAsia="仿宋"/>
          <w:bCs/>
          <w:sz w:val="32"/>
          <w:szCs w:val="32"/>
        </w:rPr>
        <w:t>完成预算</w:t>
      </w:r>
      <w:r>
        <w:rPr>
          <w:rStyle w:val="16"/>
          <w:rFonts w:hint="eastAsia" w:ascii="仿宋" w:hAnsi="仿宋" w:eastAsia="仿宋"/>
          <w:bCs/>
          <w:sz w:val="32"/>
          <w:szCs w:val="32"/>
          <w:lang w:val="en-US" w:eastAsia="zh-CN"/>
        </w:rPr>
        <w:t>100</w:t>
      </w:r>
      <w:r>
        <w:rPr>
          <w:rStyle w:val="16"/>
          <w:rFonts w:ascii="仿宋" w:hAnsi="仿宋" w:eastAsia="仿宋"/>
          <w:bCs/>
          <w:sz w:val="32"/>
          <w:szCs w:val="32"/>
        </w:rPr>
        <w:t>%</w:t>
      </w:r>
      <w:r>
        <w:rPr>
          <w:rStyle w:val="16"/>
          <w:rFonts w:hint="eastAsia" w:ascii="仿宋" w:hAnsi="仿宋" w:eastAsia="仿宋"/>
          <w:bCs/>
          <w:sz w:val="32"/>
          <w:szCs w:val="32"/>
        </w:rPr>
        <w:t>。其中：</w:t>
      </w:r>
      <w:bookmarkEnd w:id="31"/>
      <w:bookmarkEnd w:id="32"/>
      <w:bookmarkEnd w:id="33"/>
    </w:p>
    <w:p>
      <w:pPr>
        <w:spacing w:line="600" w:lineRule="exact"/>
        <w:ind w:firstLine="643" w:firstLineChars="200"/>
        <w:rPr>
          <w:rFonts w:ascii="仿宋" w:hAnsi="仿宋" w:eastAsia="仿宋"/>
          <w:b/>
          <w:sz w:val="32"/>
          <w:szCs w:val="32"/>
        </w:rPr>
      </w:pPr>
      <w:r>
        <w:rPr>
          <w:rStyle w:val="16"/>
          <w:rFonts w:hint="eastAsia" w:ascii="仿宋" w:hAnsi="仿宋" w:eastAsia="仿宋"/>
          <w:bCs/>
          <w:sz w:val="32"/>
          <w:szCs w:val="32"/>
          <w:lang w:val="en-US" w:eastAsia="zh-CN"/>
        </w:rPr>
        <w:t>1</w:t>
      </w:r>
      <w:r>
        <w:rPr>
          <w:rStyle w:val="16"/>
          <w:rFonts w:ascii="仿宋" w:hAnsi="仿宋" w:eastAsia="仿宋"/>
          <w:bCs/>
          <w:sz w:val="32"/>
          <w:szCs w:val="32"/>
        </w:rPr>
        <w:t>.</w:t>
      </w:r>
      <w:r>
        <w:rPr>
          <w:rStyle w:val="16"/>
          <w:rFonts w:hint="eastAsia" w:ascii="仿宋" w:hAnsi="仿宋" w:eastAsia="仿宋"/>
          <w:bCs/>
          <w:sz w:val="32"/>
          <w:szCs w:val="32"/>
        </w:rPr>
        <w:t>社会保障和就业（</w:t>
      </w:r>
      <w:r>
        <w:rPr>
          <w:rStyle w:val="16"/>
          <w:rFonts w:hint="eastAsia" w:ascii="仿宋" w:hAnsi="仿宋" w:eastAsia="仿宋"/>
          <w:bCs/>
          <w:sz w:val="32"/>
          <w:szCs w:val="32"/>
          <w:lang w:val="en-US" w:eastAsia="zh-CN"/>
        </w:rPr>
        <w:t>208</w:t>
      </w:r>
      <w:r>
        <w:rPr>
          <w:rStyle w:val="16"/>
          <w:rFonts w:hint="eastAsia" w:ascii="仿宋" w:hAnsi="仿宋" w:eastAsia="仿宋"/>
          <w:bCs/>
          <w:sz w:val="32"/>
          <w:szCs w:val="32"/>
        </w:rPr>
        <w:t>）</w:t>
      </w:r>
      <w:r>
        <w:rPr>
          <w:rStyle w:val="16"/>
          <w:rFonts w:hint="eastAsia" w:ascii="仿宋" w:hAnsi="仿宋" w:eastAsia="仿宋"/>
          <w:bCs/>
          <w:sz w:val="32"/>
          <w:szCs w:val="32"/>
          <w:lang w:eastAsia="zh-CN"/>
        </w:rPr>
        <w:t>行政事业单位养老支出</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05</w:t>
      </w:r>
      <w:r>
        <w:rPr>
          <w:rStyle w:val="16"/>
          <w:rFonts w:hint="eastAsia" w:ascii="仿宋" w:hAnsi="仿宋" w:eastAsia="仿宋"/>
          <w:bCs/>
          <w:sz w:val="32"/>
          <w:szCs w:val="32"/>
        </w:rPr>
        <w:t>）其他行政事业单位养老支出（</w:t>
      </w:r>
      <w:r>
        <w:rPr>
          <w:rStyle w:val="16"/>
          <w:rFonts w:hint="eastAsia" w:ascii="仿宋" w:hAnsi="仿宋" w:eastAsia="仿宋"/>
          <w:bCs/>
          <w:sz w:val="32"/>
          <w:szCs w:val="32"/>
          <w:lang w:val="en-US" w:eastAsia="zh-CN"/>
        </w:rPr>
        <w:t>99</w:t>
      </w:r>
      <w:r>
        <w:rPr>
          <w:rStyle w:val="16"/>
          <w:rFonts w:hint="eastAsia" w:ascii="仿宋" w:hAnsi="仿宋" w:eastAsia="仿宋"/>
          <w:bCs/>
          <w:sz w:val="32"/>
          <w:szCs w:val="32"/>
        </w:rPr>
        <w:t>）</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23.87</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6"/>
          <w:rFonts w:hint="eastAsia" w:ascii="仿宋" w:hAnsi="仿宋" w:eastAsia="仿宋"/>
          <w:bCs/>
          <w:sz w:val="32"/>
          <w:szCs w:val="32"/>
          <w:lang w:val="en-US" w:eastAsia="zh-CN"/>
        </w:rPr>
        <w:t>2</w:t>
      </w:r>
      <w:r>
        <w:rPr>
          <w:rStyle w:val="16"/>
          <w:rFonts w:ascii="仿宋" w:hAnsi="仿宋" w:eastAsia="仿宋"/>
          <w:bCs/>
          <w:sz w:val="32"/>
          <w:szCs w:val="32"/>
        </w:rPr>
        <w:t>.</w:t>
      </w:r>
      <w:r>
        <w:rPr>
          <w:rFonts w:hint="eastAsia" w:ascii="仿宋" w:hAnsi="仿宋" w:eastAsia="仿宋"/>
          <w:b/>
          <w:bCs/>
          <w:sz w:val="32"/>
          <w:szCs w:val="32"/>
        </w:rPr>
        <w:t>卫生健康</w:t>
      </w:r>
      <w:r>
        <w:rPr>
          <w:rFonts w:hint="eastAsia" w:ascii="仿宋" w:hAnsi="仿宋" w:eastAsia="仿宋"/>
          <w:b/>
          <w:bCs/>
          <w:sz w:val="32"/>
          <w:szCs w:val="32"/>
          <w:lang w:eastAsia="zh-CN"/>
        </w:rPr>
        <w:t>支出</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210</w:t>
      </w:r>
      <w:r>
        <w:rPr>
          <w:rStyle w:val="16"/>
          <w:rFonts w:hint="eastAsia" w:ascii="仿宋" w:hAnsi="仿宋" w:eastAsia="仿宋"/>
          <w:bCs/>
          <w:sz w:val="32"/>
          <w:szCs w:val="32"/>
        </w:rPr>
        <w:t>）</w:t>
      </w:r>
      <w:r>
        <w:rPr>
          <w:rStyle w:val="16"/>
          <w:rFonts w:hint="eastAsia" w:ascii="仿宋" w:hAnsi="仿宋" w:eastAsia="仿宋"/>
          <w:bCs/>
          <w:sz w:val="32"/>
          <w:szCs w:val="32"/>
          <w:lang w:eastAsia="zh-CN"/>
        </w:rPr>
        <w:t>基层医疗卫生机构</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03</w:t>
      </w:r>
      <w:r>
        <w:rPr>
          <w:rStyle w:val="16"/>
          <w:rFonts w:hint="eastAsia" w:ascii="仿宋" w:hAnsi="仿宋" w:eastAsia="仿宋"/>
          <w:bCs/>
          <w:sz w:val="32"/>
          <w:szCs w:val="32"/>
        </w:rPr>
        <w:t>）</w:t>
      </w:r>
      <w:r>
        <w:rPr>
          <w:rStyle w:val="16"/>
          <w:rFonts w:hint="eastAsia" w:ascii="仿宋" w:hAnsi="仿宋" w:eastAsia="仿宋"/>
          <w:bCs/>
          <w:sz w:val="32"/>
          <w:szCs w:val="32"/>
          <w:lang w:eastAsia="zh-CN"/>
        </w:rPr>
        <w:t>乡镇卫生院</w:t>
      </w:r>
      <w:r>
        <w:rPr>
          <w:rStyle w:val="16"/>
          <w:rFonts w:hint="eastAsia" w:ascii="仿宋" w:hAnsi="仿宋" w:eastAsia="仿宋"/>
          <w:bCs/>
          <w:sz w:val="32"/>
          <w:szCs w:val="32"/>
        </w:rPr>
        <w:t>（</w:t>
      </w:r>
      <w:r>
        <w:rPr>
          <w:rStyle w:val="16"/>
          <w:rFonts w:hint="eastAsia" w:ascii="仿宋" w:hAnsi="仿宋" w:eastAsia="仿宋"/>
          <w:bCs/>
          <w:sz w:val="32"/>
          <w:szCs w:val="32"/>
          <w:lang w:val="en-US" w:eastAsia="zh-CN"/>
        </w:rPr>
        <w:t>02</w:t>
      </w:r>
      <w:r>
        <w:rPr>
          <w:rStyle w:val="16"/>
          <w:rFonts w:hint="eastAsia" w:ascii="仿宋" w:hAnsi="仿宋" w:eastAsia="仿宋"/>
          <w:bCs/>
          <w:sz w:val="32"/>
          <w:szCs w:val="32"/>
        </w:rPr>
        <w:t>）</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hint="eastAsia" w:ascii="仿宋" w:hAnsi="仿宋" w:eastAsia="仿宋"/>
          <w:b w:val="0"/>
          <w:bCs/>
          <w:sz w:val="32"/>
          <w:szCs w:val="32"/>
          <w:lang w:val="en-US" w:eastAsia="zh-CN"/>
        </w:rPr>
        <w:t>230.69</w:t>
      </w:r>
      <w:r>
        <w:rPr>
          <w:rStyle w:val="16"/>
          <w:rFonts w:hint="eastAsia" w:ascii="仿宋" w:hAnsi="仿宋" w:eastAsia="仿宋"/>
          <w:b w:val="0"/>
          <w:bCs/>
          <w:sz w:val="32"/>
          <w:szCs w:val="32"/>
        </w:rPr>
        <w:t>万元，完成预算</w:t>
      </w:r>
      <w:r>
        <w:rPr>
          <w:rStyle w:val="16"/>
          <w:rFonts w:hint="eastAsia" w:ascii="仿宋" w:hAnsi="仿宋" w:eastAsia="仿宋"/>
          <w:b w:val="0"/>
          <w:bCs/>
          <w:sz w:val="32"/>
          <w:szCs w:val="32"/>
          <w:lang w:val="en-US" w:eastAsia="zh-CN"/>
        </w:rPr>
        <w:t>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tabs>
          <w:tab w:val="right" w:pos="8306"/>
        </w:tabs>
        <w:spacing w:line="600" w:lineRule="exact"/>
        <w:ind w:firstLine="640"/>
        <w:outlineLvl w:val="1"/>
        <w:rPr>
          <w:rStyle w:val="28"/>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ascii="仿宋" w:hAnsi="仿宋" w:eastAsia="仿宋"/>
          <w:b/>
          <w:sz w:val="32"/>
          <w:szCs w:val="32"/>
        </w:rPr>
        <w:t>254.56</w:t>
      </w:r>
      <w:r>
        <w:rPr>
          <w:rFonts w:hint="eastAsia" w:ascii="仿宋" w:hAnsi="仿宋" w:eastAsia="仿宋"/>
          <w:sz w:val="32"/>
          <w:szCs w:val="32"/>
        </w:rPr>
        <w:t>万元，其中：</w:t>
      </w:r>
    </w:p>
    <w:p>
      <w:pPr>
        <w:spacing w:line="600" w:lineRule="exact"/>
        <w:ind w:firstLine="645"/>
        <w:rPr>
          <w:rFonts w:ascii="仿宋" w:hAnsi="仿宋" w:eastAsia="仿宋"/>
          <w:b/>
          <w:sz w:val="32"/>
          <w:szCs w:val="32"/>
        </w:rPr>
      </w:pPr>
      <w:r>
        <w:rPr>
          <w:rFonts w:hint="eastAsia" w:ascii="仿宋" w:hAnsi="仿宋" w:eastAsia="仿宋"/>
          <w:sz w:val="32"/>
          <w:szCs w:val="32"/>
        </w:rPr>
        <w:t>人员经费</w:t>
      </w:r>
      <w:r>
        <w:rPr>
          <w:rFonts w:ascii="仿宋" w:hAnsi="仿宋" w:eastAsia="仿宋"/>
          <w:b/>
          <w:sz w:val="32"/>
          <w:szCs w:val="32"/>
        </w:rPr>
        <w:t>254.56</w:t>
      </w:r>
      <w:r>
        <w:rPr>
          <w:rFonts w:hint="eastAsia" w:ascii="仿宋" w:hAnsi="仿宋" w:eastAsia="仿宋"/>
          <w:sz w:val="32"/>
          <w:szCs w:val="32"/>
        </w:rPr>
        <w:t>万元，主要包括：基本工资</w:t>
      </w:r>
      <w:r>
        <w:rPr>
          <w:rFonts w:hint="eastAsia" w:ascii="仿宋" w:hAnsi="仿宋" w:eastAsia="仿宋"/>
          <w:sz w:val="32"/>
          <w:szCs w:val="32"/>
          <w:lang w:val="en-US" w:eastAsia="zh-CN"/>
        </w:rPr>
        <w:t>87.7万元</w:t>
      </w:r>
      <w:r>
        <w:rPr>
          <w:rFonts w:hint="eastAsia" w:ascii="仿宋" w:hAnsi="仿宋" w:eastAsia="仿宋"/>
          <w:sz w:val="32"/>
          <w:szCs w:val="32"/>
        </w:rPr>
        <w:t>、津贴补贴</w:t>
      </w:r>
      <w:r>
        <w:rPr>
          <w:rFonts w:hint="eastAsia" w:ascii="仿宋" w:hAnsi="仿宋" w:eastAsia="仿宋"/>
          <w:sz w:val="32"/>
          <w:szCs w:val="32"/>
          <w:lang w:val="en-US" w:eastAsia="zh-CN"/>
        </w:rPr>
        <w:t>15.84万元</w:t>
      </w:r>
      <w:r>
        <w:rPr>
          <w:rFonts w:hint="eastAsia" w:ascii="仿宋" w:hAnsi="仿宋" w:eastAsia="仿宋"/>
          <w:sz w:val="32"/>
          <w:szCs w:val="32"/>
        </w:rPr>
        <w:t>、绩效工资</w:t>
      </w:r>
      <w:r>
        <w:rPr>
          <w:rFonts w:hint="eastAsia" w:ascii="仿宋" w:hAnsi="仿宋" w:eastAsia="仿宋"/>
          <w:sz w:val="32"/>
          <w:szCs w:val="32"/>
          <w:lang w:val="en-US" w:eastAsia="zh-CN"/>
        </w:rPr>
        <w:t>73.19万元</w:t>
      </w:r>
      <w:r>
        <w:rPr>
          <w:rFonts w:hint="eastAsia" w:ascii="仿宋" w:hAnsi="仿宋" w:eastAsia="仿宋"/>
          <w:sz w:val="32"/>
          <w:szCs w:val="32"/>
        </w:rPr>
        <w:t>、其他工资福利支出</w:t>
      </w:r>
      <w:r>
        <w:rPr>
          <w:rFonts w:hint="eastAsia" w:ascii="仿宋" w:hAnsi="仿宋" w:eastAsia="仿宋"/>
          <w:sz w:val="32"/>
          <w:szCs w:val="32"/>
          <w:lang w:val="en-US" w:eastAsia="zh-CN"/>
        </w:rPr>
        <w:t>53.96万元</w:t>
      </w:r>
      <w:r>
        <w:rPr>
          <w:rFonts w:hint="eastAsia" w:ascii="仿宋" w:hAnsi="仿宋" w:eastAsia="仿宋"/>
          <w:sz w:val="32"/>
          <w:szCs w:val="32"/>
        </w:rPr>
        <w:t>、生活补助</w:t>
      </w:r>
      <w:r>
        <w:rPr>
          <w:rFonts w:hint="eastAsia" w:ascii="仿宋" w:hAnsi="仿宋" w:eastAsia="仿宋"/>
          <w:sz w:val="32"/>
          <w:szCs w:val="32"/>
          <w:lang w:val="en-US" w:eastAsia="zh-CN"/>
        </w:rPr>
        <w:t>23.87万元</w:t>
      </w:r>
      <w:r>
        <w:rPr>
          <w:rFonts w:hint="eastAsia" w:ascii="仿宋" w:hAnsi="仿宋" w:eastAsia="仿宋"/>
          <w:sz w:val="32"/>
          <w:szCs w:val="32"/>
        </w:rPr>
        <w:t>。</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b/>
          <w:sz w:val="32"/>
          <w:szCs w:val="32"/>
        </w:rPr>
        <w:t>0</w:t>
      </w:r>
      <w:r>
        <w:rPr>
          <w:rFonts w:hint="eastAsia" w:ascii="仿宋" w:hAnsi="仿宋" w:eastAsia="仿宋"/>
          <w:sz w:val="32"/>
          <w:szCs w:val="32"/>
        </w:rPr>
        <w:t>万元。</w:t>
      </w:r>
    </w:p>
    <w:p>
      <w:pPr>
        <w:spacing w:line="600" w:lineRule="exact"/>
        <w:ind w:firstLine="640"/>
        <w:outlineLvl w:val="1"/>
        <w:rPr>
          <w:rStyle w:val="28"/>
          <w:rFonts w:ascii="黑体" w:hAnsi="黑体" w:eastAsia="黑体"/>
          <w:b w:val="0"/>
        </w:rPr>
      </w:pPr>
      <w:bookmarkStart w:id="36" w:name="_Toc15396609"/>
      <w:bookmarkStart w:id="37" w:name="_Toc1537721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b/>
          <w:sz w:val="32"/>
          <w:szCs w:val="32"/>
        </w:rPr>
      </w:pPr>
      <w:r>
        <w:rPr>
          <w:rFonts w:hint="eastAsia" w:ascii="仿宋" w:hAnsi="仿宋" w:eastAsia="仿宋"/>
          <w:sz w:val="32"/>
          <w:szCs w:val="32"/>
        </w:rPr>
        <w:t>2023年度“三公”经费财政拨款支出决算为</w:t>
      </w:r>
      <w:r>
        <w:rPr>
          <w:rFonts w:ascii="仿宋" w:hAnsi="仿宋" w:eastAsia="仿宋"/>
          <w:b/>
          <w:sz w:val="32"/>
          <w:szCs w:val="32"/>
        </w:rPr>
        <w:t>0</w:t>
      </w:r>
      <w:r>
        <w:rPr>
          <w:rFonts w:hint="eastAsia" w:ascii="仿宋" w:hAnsi="仿宋" w:eastAsia="仿宋"/>
          <w:sz w:val="32"/>
          <w:szCs w:val="32"/>
        </w:rPr>
        <w:t>万元，完成预算</w:t>
      </w:r>
      <w:r>
        <w:rPr>
          <w:rFonts w:hint="eastAsia" w:ascii="仿宋" w:hAnsi="仿宋" w:eastAsia="仿宋"/>
          <w:b/>
          <w:sz w:val="32"/>
          <w:szCs w:val="32"/>
          <w:lang w:val="en-US" w:eastAsia="zh-CN"/>
        </w:rPr>
        <w:t>100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eastAsia="zh-CN"/>
        </w:rPr>
        <w:t>与上年度相比无变化</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。具体情况如下：</w:t>
      </w:r>
    </w:p>
    <w:p>
      <w:pPr>
        <w:pStyle w:val="2"/>
        <w:rPr>
          <w:rFonts w:hint="eastAsia" w:ascii="仿宋" w:hAnsi="仿宋" w:eastAsia="仿宋"/>
          <w:sz w:val="32"/>
          <w:szCs w:val="32"/>
        </w:rPr>
      </w:pPr>
      <w:r>
        <w:drawing>
          <wp:inline distT="0" distB="0" distL="114300" distR="114300">
            <wp:extent cx="5273675" cy="2806065"/>
            <wp:effectExtent l="4445" t="4445" r="10160" b="8890"/>
            <wp:docPr id="15"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_GB2312" w:eastAsia="仿宋_GB2312"/>
          <w:sz w:val="32"/>
          <w:szCs w:val="32"/>
        </w:rPr>
      </w:pPr>
      <w:bookmarkStart w:id="40" w:name="_Toc15396610"/>
      <w:bookmarkStart w:id="41" w:name="_Toc15377218"/>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hint="eastAsia" w:ascii="仿宋" w:hAnsi="仿宋" w:eastAsia="仿宋"/>
          <w:b w:val="0"/>
          <w:bCs/>
          <w:sz w:val="32"/>
          <w:szCs w:val="32"/>
          <w:lang w:val="en-US" w:eastAsia="zh-CN"/>
        </w:rPr>
        <w:t>10</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w:t>
      </w:r>
      <w:r>
        <w:rPr>
          <w:rFonts w:hint="eastAsia" w:ascii="仿宋" w:hAnsi="仿宋" w:eastAsia="仿宋"/>
          <w:sz w:val="32"/>
          <w:szCs w:val="32"/>
          <w:lang w:eastAsia="zh-CN"/>
        </w:rPr>
        <w:t>与</w:t>
      </w:r>
      <w:r>
        <w:rPr>
          <w:rFonts w:hint="eastAsia" w:ascii="仿宋" w:hAnsi="仿宋" w:eastAsia="仿宋"/>
          <w:sz w:val="32"/>
          <w:szCs w:val="32"/>
          <w:lang w:val="en-US" w:eastAsia="zh-CN"/>
        </w:rPr>
        <w:t>2022年</w:t>
      </w:r>
      <w:r>
        <w:rPr>
          <w:rFonts w:hint="eastAsia" w:ascii="仿宋" w:hAnsi="仿宋" w:eastAsia="仿宋"/>
          <w:sz w:val="32"/>
          <w:szCs w:val="32"/>
          <w:lang w:eastAsia="zh-CN"/>
        </w:rPr>
        <w:t>相比无变化</w:t>
      </w:r>
      <w:r>
        <w:rPr>
          <w:rFonts w:hint="eastAsia" w:ascii="仿宋" w:hAnsi="仿宋" w:eastAsia="仿宋"/>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hint="eastAsia" w:ascii="仿宋" w:hAnsi="仿宋" w:eastAsia="仿宋"/>
          <w:b w:val="0"/>
          <w:bCs/>
          <w:sz w:val="32"/>
          <w:szCs w:val="32"/>
          <w:lang w:val="en-US" w:eastAsia="zh-CN"/>
        </w:rPr>
        <w:t>10</w:t>
      </w:r>
      <w:r>
        <w:rPr>
          <w:rStyle w:val="16"/>
          <w:rFonts w:ascii="仿宋" w:hAnsi="仿宋" w:eastAsia="仿宋"/>
          <w:bCs/>
          <w:sz w:val="32"/>
          <w:szCs w:val="32"/>
        </w:rPr>
        <w:t>0</w:t>
      </w:r>
      <w:r>
        <w:rPr>
          <w:rStyle w:val="16"/>
          <w:rFonts w:ascii="仿宋" w:hAnsi="仿宋" w:eastAsia="仿宋"/>
          <w:b w:val="0"/>
          <w:bCs/>
          <w:sz w:val="32"/>
          <w:szCs w:val="32"/>
        </w:rPr>
        <w:t>%</w:t>
      </w:r>
      <w:r>
        <w:rPr>
          <w:rStyle w:val="16"/>
          <w:rFonts w:hint="eastAsia" w:ascii="仿宋" w:hAnsi="仿宋" w:eastAsia="仿宋"/>
          <w:b w:val="0"/>
          <w:bCs/>
          <w:sz w:val="32"/>
          <w:szCs w:val="32"/>
        </w:rPr>
        <w:t>。</w:t>
      </w:r>
      <w:r>
        <w:rPr>
          <w:rFonts w:hint="eastAsia" w:ascii="仿宋_GB2312" w:eastAsia="仿宋_GB2312"/>
          <w:sz w:val="32"/>
          <w:szCs w:val="32"/>
        </w:rPr>
        <w:t>公务用车购置及运行维护费支出决算</w:t>
      </w:r>
      <w:r>
        <w:rPr>
          <w:rFonts w:hint="eastAsia" w:ascii="仿宋" w:hAnsi="仿宋" w:eastAsia="仿宋"/>
          <w:sz w:val="32"/>
          <w:szCs w:val="32"/>
          <w:lang w:eastAsia="zh-CN"/>
        </w:rPr>
        <w:t>与</w:t>
      </w:r>
      <w:r>
        <w:rPr>
          <w:rFonts w:hint="eastAsia" w:ascii="仿宋" w:hAnsi="仿宋" w:eastAsia="仿宋"/>
          <w:sz w:val="32"/>
          <w:szCs w:val="32"/>
          <w:lang w:val="en-US" w:eastAsia="zh-CN"/>
        </w:rPr>
        <w:t>2022年</w:t>
      </w:r>
      <w:r>
        <w:rPr>
          <w:rFonts w:hint="eastAsia" w:ascii="仿宋" w:hAnsi="仿宋" w:eastAsia="仿宋"/>
          <w:sz w:val="32"/>
          <w:szCs w:val="32"/>
          <w:lang w:eastAsia="zh-CN"/>
        </w:rPr>
        <w:t>相比无变化</w:t>
      </w:r>
      <w:r>
        <w:rPr>
          <w:rFonts w:hint="eastAsia" w:ascii="仿宋" w:hAnsi="仿宋" w:eastAsia="仿宋"/>
          <w:sz w:val="32"/>
          <w:szCs w:val="32"/>
        </w:rPr>
        <w:t>。</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w:t>
      </w:r>
    </w:p>
    <w:p>
      <w:pPr>
        <w:spacing w:line="600" w:lineRule="exact"/>
        <w:ind w:firstLine="640"/>
        <w:rPr>
          <w:rFonts w:hint="eastAsia" w:ascii="仿宋_GB2312" w:eastAsia="仿宋_GB2312"/>
          <w:sz w:val="32"/>
          <w:szCs w:val="32"/>
        </w:rPr>
      </w:pPr>
      <w:r>
        <w:rPr>
          <w:rFonts w:hint="eastAsia" w:ascii="仿宋_GB2312" w:eastAsia="仿宋_GB2312"/>
          <w:b/>
          <w:sz w:val="32"/>
          <w:szCs w:val="32"/>
        </w:rPr>
        <w:t>公务用车运行维护费支出</w:t>
      </w:r>
      <w:r>
        <w:rPr>
          <w:rFonts w:ascii="仿宋" w:hAnsi="仿宋" w:eastAsia="仿宋"/>
          <w:b/>
          <w:sz w:val="32"/>
          <w:szCs w:val="32"/>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 w:hAnsi="仿宋" w:eastAsia="仿宋"/>
          <w:b/>
          <w:sz w:val="32"/>
          <w:szCs w:val="32"/>
        </w:rPr>
        <w:t>0</w:t>
      </w:r>
      <w:r>
        <w:rPr>
          <w:rFonts w:hint="eastAsia" w:ascii="仿宋_GB2312" w:eastAsia="仿宋_GB2312"/>
          <w:sz w:val="32"/>
          <w:szCs w:val="32"/>
        </w:rPr>
        <w:t>万元，</w:t>
      </w:r>
      <w:r>
        <w:rPr>
          <w:rStyle w:val="16"/>
          <w:rFonts w:hint="eastAsia" w:ascii="仿宋" w:hAnsi="仿宋" w:eastAsia="仿宋"/>
          <w:b w:val="0"/>
          <w:bCs/>
          <w:sz w:val="32"/>
          <w:szCs w:val="32"/>
        </w:rPr>
        <w:t>完成预算</w:t>
      </w:r>
      <w:r>
        <w:rPr>
          <w:rStyle w:val="16"/>
          <w:rFonts w:hint="eastAsia" w:ascii="仿宋" w:hAnsi="仿宋" w:eastAsia="仿宋"/>
          <w:b w:val="0"/>
          <w:bCs/>
          <w:sz w:val="32"/>
          <w:szCs w:val="32"/>
          <w:lang w:val="en-US" w:eastAsia="zh-CN"/>
        </w:rPr>
        <w:t>10</w:t>
      </w:r>
      <w:r>
        <w:rPr>
          <w:rStyle w:val="16"/>
          <w:rFonts w:ascii="仿宋" w:hAnsi="仿宋" w:eastAsia="仿宋"/>
          <w:b w:val="0"/>
          <w:bCs/>
          <w:sz w:val="32"/>
          <w:szCs w:val="32"/>
        </w:rPr>
        <w:t>0%</w:t>
      </w:r>
      <w:r>
        <w:rPr>
          <w:rStyle w:val="16"/>
          <w:rFonts w:hint="eastAsia" w:ascii="仿宋" w:hAnsi="仿宋" w:eastAsia="仿宋"/>
          <w:b w:val="0"/>
          <w:bCs/>
          <w:sz w:val="32"/>
          <w:szCs w:val="32"/>
        </w:rPr>
        <w:t>。</w:t>
      </w:r>
      <w:r>
        <w:rPr>
          <w:rFonts w:hint="eastAsia" w:ascii="仿宋_GB2312" w:eastAsia="仿宋_GB2312"/>
          <w:sz w:val="32"/>
          <w:szCs w:val="32"/>
        </w:rPr>
        <w:t>公务接待费支出决算</w:t>
      </w:r>
      <w:r>
        <w:rPr>
          <w:rFonts w:hint="eastAsia" w:ascii="仿宋" w:hAnsi="仿宋" w:eastAsia="仿宋"/>
          <w:sz w:val="32"/>
          <w:szCs w:val="32"/>
          <w:lang w:eastAsia="zh-CN"/>
        </w:rPr>
        <w:t>与</w:t>
      </w:r>
      <w:r>
        <w:rPr>
          <w:rFonts w:hint="eastAsia" w:ascii="仿宋" w:hAnsi="仿宋" w:eastAsia="仿宋"/>
          <w:sz w:val="32"/>
          <w:szCs w:val="32"/>
          <w:lang w:val="en-US" w:eastAsia="zh-CN"/>
        </w:rPr>
        <w:t>2022年度</w:t>
      </w:r>
      <w:r>
        <w:rPr>
          <w:rFonts w:hint="eastAsia" w:ascii="仿宋" w:hAnsi="仿宋" w:eastAsia="仿宋"/>
          <w:sz w:val="32"/>
          <w:szCs w:val="32"/>
          <w:lang w:eastAsia="zh-CN"/>
        </w:rPr>
        <w:t>相比无变化</w:t>
      </w:r>
      <w:r>
        <w:rPr>
          <w:rFonts w:hint="eastAsia" w:ascii="仿宋" w:hAnsi="仿宋" w:eastAsia="仿宋"/>
          <w:sz w:val="32"/>
          <w:szCs w:val="32"/>
        </w:rPr>
        <w:t>。</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b/>
          <w:sz w:val="32"/>
          <w:szCs w:val="32"/>
        </w:rPr>
        <w:t>0</w:t>
      </w:r>
      <w:r>
        <w:rPr>
          <w:rFonts w:hint="eastAsia" w:ascii="仿宋_GB2312" w:eastAsia="仿宋_GB2312"/>
          <w:sz w:val="32"/>
          <w:szCs w:val="32"/>
        </w:rPr>
        <w:t>万元。</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w:t>
      </w:r>
    </w:p>
    <w:p>
      <w:pPr>
        <w:spacing w:line="600" w:lineRule="exact"/>
        <w:ind w:firstLine="640"/>
        <w:outlineLvl w:val="1"/>
        <w:rPr>
          <w:rFonts w:ascii="黑体" w:eastAsia="黑体"/>
          <w:sz w:val="32"/>
          <w:szCs w:val="32"/>
        </w:rPr>
      </w:pPr>
    </w:p>
    <w:p>
      <w:pPr>
        <w:spacing w:line="600" w:lineRule="exact"/>
        <w:ind w:firstLine="640"/>
        <w:outlineLvl w:val="1"/>
        <w:rPr>
          <w:rStyle w:val="28"/>
          <w:rFonts w:ascii="黑体" w:hAnsi="黑体" w:eastAsia="黑体"/>
        </w:rPr>
      </w:pPr>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ascii="仿宋" w:hAnsi="仿宋" w:eastAsia="仿宋"/>
          <w:b/>
          <w:sz w:val="32"/>
          <w:szCs w:val="32"/>
        </w:rPr>
        <w:t>0</w:t>
      </w:r>
      <w:r>
        <w:rPr>
          <w:rFonts w:hint="eastAsia" w:ascii="仿宋_GB2312" w:eastAsia="仿宋_GB2312"/>
          <w:sz w:val="32"/>
          <w:szCs w:val="32"/>
        </w:rPr>
        <w:t>万元。</w:t>
      </w:r>
    </w:p>
    <w:p>
      <w:pPr>
        <w:spacing w:line="600" w:lineRule="exact"/>
        <w:ind w:firstLine="640"/>
        <w:rPr>
          <w:rFonts w:ascii="仿宋_GB2312" w:eastAsia="仿宋_GB2312"/>
          <w:sz w:val="32"/>
          <w:szCs w:val="32"/>
        </w:rPr>
      </w:pPr>
    </w:p>
    <w:p>
      <w:pPr>
        <w:numPr>
          <w:ilvl w:val="0"/>
          <w:numId w:val="4"/>
        </w:numPr>
        <w:spacing w:line="600" w:lineRule="exact"/>
        <w:ind w:firstLine="640"/>
        <w:outlineLvl w:val="1"/>
        <w:rPr>
          <w:rStyle w:val="28"/>
          <w:rFonts w:ascii="黑体" w:hAnsi="黑体" w:eastAsia="黑体"/>
          <w:b w:val="0"/>
        </w:rPr>
      </w:pPr>
      <w:bookmarkStart w:id="42" w:name="_Toc15377219"/>
      <w:bookmarkStart w:id="43" w:name="_Toc15396611"/>
      <w:r>
        <w:rPr>
          <w:rStyle w:val="28"/>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sz w:val="32"/>
          <w:szCs w:val="32"/>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pPr>
        <w:spacing w:line="580" w:lineRule="exact"/>
        <w:jc w:val="center"/>
        <w:rPr>
          <w:rFonts w:ascii="方正小标宋简体" w:hAnsi="方正小标宋简体" w:eastAsia="方正小标宋简体" w:cs="方正小标宋简体"/>
          <w:sz w:val="44"/>
          <w:szCs w:val="44"/>
        </w:rPr>
      </w:pPr>
    </w:p>
    <w:p>
      <w:pPr>
        <w:numPr>
          <w:ilvl w:val="0"/>
          <w:numId w:val="4"/>
        </w:numPr>
        <w:spacing w:line="600" w:lineRule="exact"/>
        <w:ind w:firstLine="640"/>
        <w:outlineLvl w:val="1"/>
        <w:rPr>
          <w:rStyle w:val="28"/>
          <w:rFonts w:ascii="黑体" w:hAnsi="黑体" w:eastAsia="黑体"/>
          <w:b w:val="0"/>
        </w:rPr>
      </w:pPr>
      <w:bookmarkStart w:id="44" w:name="_Toc15377221"/>
      <w:bookmarkStart w:id="45" w:name="_Toc15396612"/>
      <w:r>
        <w:rPr>
          <w:rStyle w:val="28"/>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_GB2312" w:eastAsia="仿宋_GB2312"/>
          <w:sz w:val="32"/>
          <w:szCs w:val="32"/>
        </w:rPr>
      </w:pPr>
      <w:r>
        <w:rPr>
          <w:rFonts w:hint="default" w:ascii="Times New Roman" w:hAnsi="Times New Roman" w:eastAsia="仿宋_GB2312" w:cs="Times New Roman"/>
          <w:color w:val="000000"/>
          <w:sz w:val="32"/>
          <w:szCs w:val="32"/>
          <w:lang w:eastAsia="zh-CN"/>
        </w:rPr>
        <w:t>我单位是公益</w:t>
      </w:r>
      <w:r>
        <w:rPr>
          <w:rFonts w:hint="default" w:ascii="Times New Roman" w:hAnsi="Times New Roman" w:eastAsia="仿宋_GB2312" w:cs="Times New Roman"/>
          <w:color w:val="000000"/>
          <w:sz w:val="32"/>
          <w:szCs w:val="32"/>
          <w:lang w:val="en-US" w:eastAsia="zh-CN"/>
        </w:rPr>
        <w:t>1类事业单位，无机关运行经费</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大竹县杨家中心卫生院</w:t>
      </w:r>
      <w:r>
        <w:rPr>
          <w:rFonts w:hint="eastAsia" w:ascii="仿宋_GB2312" w:eastAsia="仿宋_GB2312"/>
          <w:sz w:val="32"/>
          <w:szCs w:val="32"/>
        </w:rPr>
        <w:t>政府采购支出总额</w:t>
      </w:r>
      <w:r>
        <w:rPr>
          <w:rFonts w:ascii="仿宋" w:hAnsi="仿宋" w:eastAsia="仿宋"/>
          <w:b/>
          <w:sz w:val="32"/>
          <w:szCs w:val="32"/>
        </w:rPr>
        <w:t>0</w:t>
      </w:r>
      <w:r>
        <w:rPr>
          <w:rFonts w:hint="eastAsia" w:ascii="仿宋_GB2312" w:eastAsia="仿宋_GB2312"/>
          <w:sz w:val="32"/>
          <w:szCs w:val="32"/>
        </w:rPr>
        <w:t>万元。</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大竹县杨家中心卫生院</w:t>
      </w:r>
      <w:r>
        <w:rPr>
          <w:rFonts w:hint="eastAsia" w:ascii="仿宋_GB2312" w:eastAsia="仿宋_GB2312"/>
          <w:sz w:val="32"/>
          <w:szCs w:val="32"/>
        </w:rPr>
        <w:t>共有车辆</w:t>
      </w:r>
      <w:r>
        <w:rPr>
          <w:rFonts w:hint="eastAsia" w:ascii="仿宋_GB2312" w:eastAsia="仿宋_GB2312"/>
          <w:b/>
          <w:sz w:val="32"/>
          <w:szCs w:val="32"/>
        </w:rPr>
        <w:t>1</w:t>
      </w:r>
      <w:r>
        <w:rPr>
          <w:rFonts w:hint="eastAsia" w:ascii="仿宋_GB2312" w:eastAsia="仿宋_GB2312"/>
          <w:sz w:val="32"/>
          <w:szCs w:val="32"/>
        </w:rPr>
        <w:t>辆，其中：其他用车</w:t>
      </w:r>
      <w:r>
        <w:rPr>
          <w:rFonts w:hint="eastAsia" w:ascii="仿宋_GB2312" w:eastAsia="仿宋_GB2312"/>
          <w:sz w:val="32"/>
          <w:szCs w:val="32"/>
          <w:lang w:val="en-US" w:eastAsia="zh-CN"/>
        </w:rPr>
        <w:t>1</w:t>
      </w:r>
      <w:r>
        <w:rPr>
          <w:rFonts w:hint="eastAsia" w:ascii="仿宋_GB2312" w:eastAsia="仿宋_GB2312"/>
          <w:sz w:val="32"/>
          <w:szCs w:val="32"/>
        </w:rPr>
        <w:t>辆，其他用车主要是</w:t>
      </w:r>
      <w:r>
        <w:rPr>
          <w:rFonts w:hint="default" w:ascii="Times New Roman" w:hAnsi="Times New Roman" w:eastAsia="仿宋_GB2312" w:cs="Times New Roman"/>
          <w:color w:val="000000"/>
          <w:sz w:val="32"/>
          <w:szCs w:val="32"/>
        </w:rPr>
        <w:t>用于</w:t>
      </w:r>
      <w:r>
        <w:rPr>
          <w:rFonts w:hint="default" w:ascii="Times New Roman" w:hAnsi="Times New Roman" w:eastAsia="仿宋_GB2312" w:cs="Times New Roman"/>
          <w:color w:val="000000"/>
          <w:sz w:val="32"/>
          <w:szCs w:val="32"/>
          <w:lang w:eastAsia="zh-CN"/>
        </w:rPr>
        <w:t>救护病人</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根据预算绩效管理要求，本单位在2023年度预算编制阶段，组织对县级单位在编在职人员经费（事业）等</w:t>
      </w:r>
      <w:r>
        <w:rPr>
          <w:rFonts w:hint="eastAsia" w:ascii="仿宋_GB2312" w:eastAsia="仿宋_GB2312"/>
          <w:sz w:val="32"/>
          <w:szCs w:val="32"/>
          <w:lang w:val="en-US" w:eastAsia="zh-CN"/>
        </w:rPr>
        <w:t>7</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7</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7</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7</w:t>
      </w:r>
      <w:r>
        <w:rPr>
          <w:rFonts w:hint="eastAsia" w:ascii="仿宋_GB2312" w:eastAsia="仿宋_GB2312"/>
          <w:sz w:val="32"/>
          <w:szCs w:val="32"/>
        </w:rPr>
        <w:t>个项目开展绩效自评，绩效自评表详见第四部分附件。</w:t>
      </w:r>
    </w:p>
    <w:p>
      <w:pPr>
        <w:spacing w:line="600" w:lineRule="exact"/>
        <w:rPr>
          <w:rFonts w:ascii="仿宋_GB2312" w:eastAsia="仿宋_GB2312"/>
          <w:sz w:val="32"/>
          <w:szCs w:val="32"/>
        </w:rPr>
      </w:pPr>
      <w:r>
        <w:rPr>
          <w:rFonts w:hint="eastAsia" w:ascii="仿宋_GB2312" w:eastAsia="仿宋_GB2312"/>
          <w:sz w:val="32"/>
          <w:szCs w:val="32"/>
        </w:rPr>
        <w:br w:type="page"/>
      </w:r>
    </w:p>
    <w:p>
      <w:pPr>
        <w:numPr>
          <w:ilvl w:val="0"/>
          <w:numId w:val="5"/>
        </w:numPr>
        <w:spacing w:line="600" w:lineRule="exact"/>
        <w:ind w:firstLine="660" w:firstLineChars="150"/>
        <w:jc w:val="center"/>
        <w:outlineLvl w:val="0"/>
        <w:rPr>
          <w:rStyle w:val="27"/>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7"/>
          <w:rFonts w:hint="eastAsia" w:ascii="黑体" w:hAnsi="黑体" w:eastAsia="黑体"/>
          <w:b w:val="0"/>
        </w:rPr>
        <w:t>词解释</w:t>
      </w:r>
      <w:bookmarkEnd w:id="49"/>
      <w:bookmarkEnd w:id="50"/>
    </w:p>
    <w:p>
      <w:pPr>
        <w:spacing w:line="600" w:lineRule="exact"/>
        <w:jc w:val="left"/>
        <w:rPr>
          <w:rFonts w:ascii="宋体"/>
          <w:b/>
          <w:sz w:val="44"/>
          <w:szCs w:val="44"/>
        </w:rPr>
      </w:pP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rPr>
        <w:t>2.</w:t>
      </w:r>
      <w:r>
        <w:rPr>
          <w:rFonts w:hint="eastAsia" w:ascii="仿宋_GB2312" w:eastAsia="仿宋_GB2312"/>
          <w:color w:val="auto"/>
          <w:sz w:val="32"/>
          <w:szCs w:val="32"/>
        </w:rPr>
        <w:t>事业收入：</w:t>
      </w:r>
      <w:r>
        <w:rPr>
          <w:rFonts w:hint="eastAsia" w:ascii="仿宋_GB2312" w:eastAsia="仿宋_GB2312"/>
          <w:color w:val="auto"/>
          <w:sz w:val="32"/>
          <w:szCs w:val="32"/>
          <w:highlight w:val="none"/>
        </w:rPr>
        <w:t>指事业单位开展专业业务活动及辅助活动取得的收入。</w:t>
      </w:r>
    </w:p>
    <w:p>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其他收入：</w:t>
      </w:r>
      <w:r>
        <w:rPr>
          <w:rFonts w:hint="eastAsia" w:ascii="仿宋_GB2312" w:eastAsia="仿宋_GB2312"/>
          <w:color w:val="auto"/>
          <w:sz w:val="32"/>
          <w:szCs w:val="32"/>
          <w:highlight w:val="none"/>
        </w:rPr>
        <w:t>指单位取得的除上述收入以外的各项收入。主要是</w:t>
      </w:r>
      <w:r>
        <w:rPr>
          <w:rFonts w:hint="default" w:ascii="Times New Roman" w:hAnsi="Times New Roman" w:eastAsia="仿宋_GB2312" w:cs="Times New Roman"/>
          <w:sz w:val="32"/>
          <w:szCs w:val="32"/>
          <w:lang w:eastAsia="zh-CN"/>
        </w:rPr>
        <w:t>利息收入、疫苗收入</w:t>
      </w:r>
      <w:r>
        <w:rPr>
          <w:rFonts w:hint="eastAsia" w:ascii="仿宋_GB2312" w:eastAsia="仿宋_GB2312"/>
          <w:color w:val="auto"/>
          <w:sz w:val="32"/>
          <w:szCs w:val="32"/>
          <w:highlight w:val="none"/>
        </w:rPr>
        <w:t>等。</w:t>
      </w:r>
      <w:r>
        <w:rPr>
          <w:rFonts w:ascii="仿宋_GB2312" w:eastAsia="仿宋_GB2312"/>
          <w:color w:val="auto"/>
          <w:sz w:val="32"/>
          <w:szCs w:val="32"/>
        </w:rPr>
        <w:t xml:space="preserve"> </w:t>
      </w:r>
    </w:p>
    <w:p>
      <w:pPr>
        <w:pStyle w:val="25"/>
        <w:spacing w:line="56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4</w:t>
      </w:r>
      <w:r>
        <w:rPr>
          <w:rFonts w:ascii="仿宋_GB2312" w:eastAsia="仿宋_GB2312"/>
          <w:color w:val="auto"/>
          <w:sz w:val="32"/>
          <w:szCs w:val="32"/>
        </w:rPr>
        <w:t>.</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：指事业单位使用以前年度积累的非财政拨款结余弥补当年收支差额的金额。</w:t>
      </w:r>
      <w:r>
        <w:rPr>
          <w:rFonts w:ascii="仿宋_GB2312" w:eastAsia="仿宋_GB2312"/>
          <w:color w:val="auto"/>
          <w:sz w:val="32"/>
          <w:szCs w:val="32"/>
        </w:rPr>
        <w:t xml:space="preserve"> </w:t>
      </w:r>
    </w:p>
    <w:p>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5</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6</w:t>
      </w:r>
      <w:r>
        <w:rPr>
          <w:rFonts w:hint="eastAsia" w:ascii="仿宋_GB2312" w:eastAsia="仿宋_GB2312"/>
          <w:color w:val="auto"/>
          <w:sz w:val="32"/>
          <w:szCs w:val="32"/>
        </w:rPr>
        <w:t>.年末结转和结余：指单位按有关规定结转到下年或以后年度继续使用的资金。</w:t>
      </w:r>
    </w:p>
    <w:p>
      <w:pPr>
        <w:spacing w:line="600" w:lineRule="exact"/>
        <w:ind w:firstLine="640" w:firstLineChars="200"/>
        <w:rPr>
          <w:rStyle w:val="16"/>
          <w:rFonts w:hint="default" w:ascii="Times New Roman" w:hAnsi="Times New Roman" w:eastAsia="仿宋_GB2312" w:cs="Times New Roman"/>
          <w:b w:val="0"/>
          <w:bCs w:val="0"/>
          <w:color w:val="000000"/>
          <w:sz w:val="32"/>
          <w:szCs w:val="32"/>
          <w:lang w:eastAsia="zh-CN"/>
        </w:rPr>
      </w:pPr>
      <w:r>
        <w:rPr>
          <w:rFonts w:hint="eastAsia" w:ascii="仿宋_GB2312" w:eastAsia="仿宋_GB2312"/>
          <w:color w:val="auto"/>
          <w:sz w:val="32"/>
          <w:szCs w:val="32"/>
          <w:highlight w:val="none"/>
          <w:lang w:val="en-US" w:eastAsia="zh-CN"/>
        </w:rPr>
        <w:t>7</w:t>
      </w:r>
      <w:r>
        <w:rPr>
          <w:rFonts w:ascii="仿宋_GB2312" w:eastAsia="仿宋_GB2312"/>
          <w:color w:val="auto"/>
          <w:sz w:val="32"/>
          <w:szCs w:val="32"/>
          <w:highlight w:val="none"/>
        </w:rPr>
        <w:t>.</w:t>
      </w:r>
      <w:r>
        <w:rPr>
          <w:rFonts w:hint="eastAsia" w:ascii="仿宋_GB2312" w:eastAsia="仿宋_GB2312"/>
          <w:color w:val="auto"/>
          <w:sz w:val="32"/>
          <w:szCs w:val="32"/>
          <w:highlight w:val="none"/>
        </w:rPr>
        <w:t>社会保障和就业</w:t>
      </w:r>
      <w:r>
        <w:rPr>
          <w:rFonts w:hint="eastAsia" w:ascii="仿宋_GB2312" w:eastAsia="仿宋_GB2312"/>
          <w:color w:val="auto"/>
          <w:sz w:val="32"/>
          <w:szCs w:val="32"/>
          <w:highlight w:val="none"/>
          <w:lang w:eastAsia="zh-CN"/>
        </w:rPr>
        <w:t>支出</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208</w:t>
      </w:r>
      <w:r>
        <w:rPr>
          <w:rFonts w:hint="eastAsia" w:ascii="仿宋_GB2312" w:eastAsia="仿宋_GB2312"/>
          <w:color w:val="auto"/>
          <w:sz w:val="32"/>
          <w:szCs w:val="32"/>
          <w:highlight w:val="none"/>
        </w:rPr>
        <w:t>）</w:t>
      </w:r>
      <w:r>
        <w:rPr>
          <w:rStyle w:val="16"/>
          <w:rFonts w:hint="default" w:ascii="Times New Roman" w:hAnsi="Times New Roman" w:eastAsia="仿宋_GB2312" w:cs="Times New Roman"/>
          <w:b w:val="0"/>
          <w:bCs w:val="0"/>
          <w:color w:val="000000"/>
          <w:sz w:val="32"/>
          <w:szCs w:val="32"/>
          <w:lang w:eastAsia="zh-CN"/>
        </w:rPr>
        <w:t>行政事业单位养老支出</w:t>
      </w:r>
      <w:r>
        <w:rPr>
          <w:rStyle w:val="16"/>
          <w:rFonts w:hint="default" w:ascii="Times New Roman" w:hAnsi="Times New Roman" w:eastAsia="仿宋_GB2312" w:cs="Times New Roman"/>
          <w:b w:val="0"/>
          <w:bCs w:val="0"/>
          <w:color w:val="000000"/>
          <w:sz w:val="32"/>
          <w:szCs w:val="32"/>
        </w:rPr>
        <w:t>（</w:t>
      </w:r>
      <w:r>
        <w:rPr>
          <w:rStyle w:val="16"/>
          <w:rFonts w:hint="default" w:ascii="Times New Roman" w:hAnsi="Times New Roman" w:eastAsia="仿宋_GB2312" w:cs="Times New Roman"/>
          <w:b w:val="0"/>
          <w:bCs w:val="0"/>
          <w:color w:val="000000"/>
          <w:sz w:val="32"/>
          <w:szCs w:val="32"/>
          <w:lang w:val="en-US" w:eastAsia="zh-CN"/>
        </w:rPr>
        <w:t>05</w:t>
      </w:r>
      <w:r>
        <w:rPr>
          <w:rStyle w:val="16"/>
          <w:rFonts w:hint="default" w:ascii="Times New Roman" w:hAnsi="Times New Roman" w:eastAsia="仿宋_GB2312" w:cs="Times New Roman"/>
          <w:b w:val="0"/>
          <w:bCs w:val="0"/>
          <w:color w:val="000000"/>
          <w:sz w:val="32"/>
          <w:szCs w:val="32"/>
        </w:rPr>
        <w:t>）</w:t>
      </w:r>
      <w:r>
        <w:rPr>
          <w:rStyle w:val="16"/>
          <w:rFonts w:hint="default" w:ascii="Times New Roman" w:hAnsi="Times New Roman" w:eastAsia="仿宋_GB2312" w:cs="Times New Roman"/>
          <w:b w:val="0"/>
          <w:bCs w:val="0"/>
          <w:color w:val="000000"/>
          <w:sz w:val="32"/>
          <w:szCs w:val="32"/>
          <w:lang w:eastAsia="zh-CN"/>
        </w:rPr>
        <w:t>机关事业单位基本养老保险缴费支出</w:t>
      </w:r>
      <w:r>
        <w:rPr>
          <w:rStyle w:val="16"/>
          <w:rFonts w:hint="default" w:ascii="Times New Roman" w:hAnsi="Times New Roman" w:eastAsia="仿宋_GB2312" w:cs="Times New Roman"/>
          <w:b w:val="0"/>
          <w:bCs w:val="0"/>
          <w:color w:val="000000"/>
          <w:sz w:val="32"/>
          <w:szCs w:val="32"/>
        </w:rPr>
        <w:t>（</w:t>
      </w:r>
      <w:r>
        <w:rPr>
          <w:rStyle w:val="16"/>
          <w:rFonts w:hint="eastAsia" w:eastAsia="仿宋_GB2312" w:cs="Times New Roman"/>
          <w:b w:val="0"/>
          <w:bCs w:val="0"/>
          <w:color w:val="000000"/>
          <w:sz w:val="32"/>
          <w:szCs w:val="32"/>
          <w:lang w:val="en-US" w:eastAsia="zh-CN"/>
        </w:rPr>
        <w:t>05</w:t>
      </w:r>
      <w:r>
        <w:rPr>
          <w:rStyle w:val="16"/>
          <w:rFonts w:hint="default" w:ascii="Times New Roman" w:hAnsi="Times New Roman" w:eastAsia="仿宋_GB2312" w:cs="Times New Roman"/>
          <w:b w:val="0"/>
          <w:bCs w:val="0"/>
          <w:color w:val="000000"/>
          <w:sz w:val="32"/>
          <w:szCs w:val="32"/>
        </w:rPr>
        <w:t xml:space="preserve">）: </w:t>
      </w:r>
      <w:r>
        <w:rPr>
          <w:rStyle w:val="16"/>
          <w:rFonts w:hint="default" w:ascii="Times New Roman" w:hAnsi="Times New Roman" w:eastAsia="仿宋_GB2312" w:cs="Times New Roman"/>
          <w:b w:val="0"/>
          <w:bCs w:val="0"/>
          <w:color w:val="000000"/>
          <w:sz w:val="32"/>
          <w:szCs w:val="32"/>
          <w:lang w:eastAsia="zh-CN"/>
        </w:rPr>
        <w:t>指在职人员</w:t>
      </w:r>
      <w:r>
        <w:rPr>
          <w:rStyle w:val="16"/>
          <w:rFonts w:hint="default" w:ascii="Times New Roman" w:hAnsi="Times New Roman" w:eastAsia="仿宋_GB2312" w:cs="Times New Roman"/>
          <w:b w:val="0"/>
          <w:bCs w:val="0"/>
          <w:color w:val="000000"/>
          <w:sz w:val="32"/>
          <w:szCs w:val="32"/>
          <w:lang w:val="en-US" w:eastAsia="zh-CN"/>
        </w:rPr>
        <w:t>工伤保险</w:t>
      </w:r>
      <w:r>
        <w:rPr>
          <w:rStyle w:val="16"/>
          <w:rFonts w:hint="default" w:ascii="Times New Roman" w:hAnsi="Times New Roman" w:eastAsia="仿宋_GB2312" w:cs="Times New Roman"/>
          <w:b w:val="0"/>
          <w:bCs w:val="0"/>
          <w:color w:val="000000"/>
          <w:sz w:val="32"/>
          <w:szCs w:val="32"/>
          <w:lang w:eastAsia="zh-CN"/>
        </w:rPr>
        <w:t>基本养老保险缴费</w:t>
      </w:r>
      <w:r>
        <w:rPr>
          <w:rStyle w:val="16"/>
          <w:rFonts w:hint="default" w:ascii="Times New Roman" w:hAnsi="Times New Roman" w:eastAsia="仿宋_GB2312" w:cs="Times New Roman"/>
          <w:b w:val="0"/>
          <w:bCs w:val="0"/>
          <w:color w:val="000000"/>
          <w:sz w:val="32"/>
          <w:szCs w:val="32"/>
          <w:lang w:val="en-US" w:eastAsia="zh-CN"/>
        </w:rPr>
        <w:t>等</w:t>
      </w:r>
      <w:r>
        <w:rPr>
          <w:rStyle w:val="16"/>
          <w:rFonts w:hint="default" w:ascii="Times New Roman" w:hAnsi="Times New Roman" w:eastAsia="仿宋_GB2312" w:cs="Times New Roman"/>
          <w:b w:val="0"/>
          <w:bCs w:val="0"/>
          <w:color w:val="000000"/>
          <w:sz w:val="32"/>
          <w:szCs w:val="32"/>
          <w:lang w:eastAsia="zh-CN"/>
        </w:rPr>
        <w:t>支出。</w:t>
      </w:r>
    </w:p>
    <w:p>
      <w:pPr>
        <w:pStyle w:val="2"/>
        <w:ind w:firstLine="640" w:firstLineChars="200"/>
      </w:pPr>
      <w:r>
        <w:rPr>
          <w:rFonts w:hint="eastAsia"/>
          <w:color w:val="auto"/>
          <w:sz w:val="32"/>
          <w:szCs w:val="32"/>
          <w:highlight w:val="none"/>
          <w:lang w:val="en-US" w:eastAsia="zh-CN"/>
        </w:rPr>
        <w:t>8</w:t>
      </w:r>
      <w:r>
        <w:rPr>
          <w:rFonts w:ascii="仿宋_GB2312" w:eastAsia="仿宋_GB2312"/>
          <w:color w:val="auto"/>
          <w:sz w:val="32"/>
          <w:szCs w:val="32"/>
          <w:highlight w:val="none"/>
        </w:rPr>
        <w:t>.</w:t>
      </w:r>
      <w:r>
        <w:rPr>
          <w:rFonts w:hint="eastAsia" w:ascii="仿宋_GB2312" w:eastAsia="仿宋_GB2312"/>
          <w:color w:val="auto"/>
          <w:sz w:val="32"/>
          <w:szCs w:val="32"/>
          <w:highlight w:val="none"/>
        </w:rPr>
        <w:t>社会保障和就业</w:t>
      </w:r>
      <w:r>
        <w:rPr>
          <w:rFonts w:hint="eastAsia" w:ascii="仿宋_GB2312" w:eastAsia="仿宋_GB2312"/>
          <w:color w:val="auto"/>
          <w:sz w:val="32"/>
          <w:szCs w:val="32"/>
          <w:highlight w:val="none"/>
          <w:lang w:eastAsia="zh-CN"/>
        </w:rPr>
        <w:t>支出</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208</w:t>
      </w:r>
      <w:r>
        <w:rPr>
          <w:rFonts w:hint="eastAsia" w:ascii="仿宋_GB2312" w:eastAsia="仿宋_GB2312"/>
          <w:color w:val="auto"/>
          <w:sz w:val="32"/>
          <w:szCs w:val="32"/>
          <w:highlight w:val="none"/>
        </w:rPr>
        <w:t>）</w:t>
      </w:r>
      <w:r>
        <w:rPr>
          <w:rStyle w:val="16"/>
          <w:rFonts w:hint="default" w:ascii="Times New Roman" w:hAnsi="Times New Roman" w:eastAsia="仿宋_GB2312" w:cs="Times New Roman"/>
          <w:b w:val="0"/>
          <w:bCs w:val="0"/>
          <w:color w:val="000000"/>
          <w:sz w:val="32"/>
          <w:szCs w:val="32"/>
          <w:lang w:eastAsia="zh-CN"/>
        </w:rPr>
        <w:t>行政事业单位养老支出</w:t>
      </w:r>
      <w:r>
        <w:rPr>
          <w:rStyle w:val="16"/>
          <w:rFonts w:hint="default" w:ascii="Times New Roman" w:hAnsi="Times New Roman" w:eastAsia="仿宋_GB2312" w:cs="Times New Roman"/>
          <w:b w:val="0"/>
          <w:bCs w:val="0"/>
          <w:color w:val="000000"/>
          <w:sz w:val="32"/>
          <w:szCs w:val="32"/>
        </w:rPr>
        <w:t>（</w:t>
      </w:r>
      <w:r>
        <w:rPr>
          <w:rStyle w:val="16"/>
          <w:rFonts w:hint="default" w:ascii="Times New Roman" w:hAnsi="Times New Roman" w:eastAsia="仿宋_GB2312" w:cs="Times New Roman"/>
          <w:b w:val="0"/>
          <w:bCs w:val="0"/>
          <w:color w:val="000000"/>
          <w:sz w:val="32"/>
          <w:szCs w:val="32"/>
          <w:lang w:val="en-US" w:eastAsia="zh-CN"/>
        </w:rPr>
        <w:t>05</w:t>
      </w:r>
      <w:r>
        <w:rPr>
          <w:rStyle w:val="16"/>
          <w:rFonts w:hint="default" w:ascii="Times New Roman" w:hAnsi="Times New Roman" w:eastAsia="仿宋_GB2312" w:cs="Times New Roman"/>
          <w:b w:val="0"/>
          <w:bCs w:val="0"/>
          <w:color w:val="000000"/>
          <w:sz w:val="32"/>
          <w:szCs w:val="32"/>
        </w:rPr>
        <w:t>）</w:t>
      </w:r>
      <w:r>
        <w:rPr>
          <w:rStyle w:val="16"/>
          <w:rFonts w:hint="default" w:ascii="Times New Roman" w:hAnsi="Times New Roman" w:eastAsia="仿宋_GB2312" w:cs="Times New Roman"/>
          <w:b w:val="0"/>
          <w:bCs w:val="0"/>
          <w:color w:val="000000"/>
          <w:sz w:val="32"/>
          <w:szCs w:val="32"/>
          <w:lang w:eastAsia="zh-CN"/>
        </w:rPr>
        <w:t>其他行政事业单位养老支出</w:t>
      </w:r>
      <w:r>
        <w:rPr>
          <w:rStyle w:val="16"/>
          <w:rFonts w:hint="default" w:ascii="Times New Roman" w:hAnsi="Times New Roman" w:eastAsia="仿宋_GB2312" w:cs="Times New Roman"/>
          <w:b w:val="0"/>
          <w:bCs w:val="0"/>
          <w:color w:val="000000"/>
          <w:sz w:val="32"/>
          <w:szCs w:val="32"/>
        </w:rPr>
        <w:t>（</w:t>
      </w:r>
      <w:r>
        <w:rPr>
          <w:rStyle w:val="16"/>
          <w:rFonts w:hint="eastAsia" w:cs="Times New Roman"/>
          <w:b w:val="0"/>
          <w:bCs w:val="0"/>
          <w:color w:val="000000"/>
          <w:sz w:val="32"/>
          <w:szCs w:val="32"/>
          <w:lang w:val="en-US" w:eastAsia="zh-CN"/>
        </w:rPr>
        <w:t>99</w:t>
      </w:r>
      <w:r>
        <w:rPr>
          <w:rStyle w:val="16"/>
          <w:rFonts w:hint="default" w:ascii="Times New Roman" w:hAnsi="Times New Roman" w:eastAsia="仿宋_GB2312" w:cs="Times New Roman"/>
          <w:b w:val="0"/>
          <w:bCs w:val="0"/>
          <w:color w:val="000000"/>
          <w:sz w:val="32"/>
          <w:szCs w:val="32"/>
        </w:rPr>
        <w:t xml:space="preserve">）: </w:t>
      </w:r>
      <w:r>
        <w:rPr>
          <w:rStyle w:val="16"/>
          <w:rFonts w:hint="default" w:ascii="Times New Roman" w:hAnsi="Times New Roman" w:eastAsia="仿宋_GB2312" w:cs="Times New Roman"/>
          <w:b w:val="0"/>
          <w:bCs w:val="0"/>
          <w:color w:val="000000"/>
          <w:sz w:val="32"/>
          <w:szCs w:val="32"/>
          <w:lang w:eastAsia="zh-CN"/>
        </w:rPr>
        <w:t>指</w:t>
      </w:r>
      <w:r>
        <w:rPr>
          <w:rStyle w:val="16"/>
          <w:rFonts w:hint="eastAsia" w:ascii="Times New Roman" w:hAnsi="Times New Roman" w:cs="Times New Roman"/>
          <w:b w:val="0"/>
          <w:bCs w:val="0"/>
          <w:color w:val="000000"/>
          <w:sz w:val="32"/>
          <w:szCs w:val="32"/>
          <w:lang w:eastAsia="zh-CN"/>
        </w:rPr>
        <w:t>退休人员生活补助</w:t>
      </w:r>
      <w:r>
        <w:rPr>
          <w:rStyle w:val="16"/>
          <w:rFonts w:hint="default" w:ascii="Times New Roman" w:hAnsi="Times New Roman" w:eastAsia="仿宋_GB2312" w:cs="Times New Roman"/>
          <w:b w:val="0"/>
          <w:bCs w:val="0"/>
          <w:color w:val="000000"/>
          <w:sz w:val="32"/>
          <w:szCs w:val="32"/>
          <w:lang w:val="en-US" w:eastAsia="zh-CN"/>
        </w:rPr>
        <w:t>等</w:t>
      </w:r>
      <w:r>
        <w:rPr>
          <w:rStyle w:val="16"/>
          <w:rFonts w:hint="default" w:ascii="Times New Roman" w:hAnsi="Times New Roman" w:eastAsia="仿宋_GB2312" w:cs="Times New Roman"/>
          <w:b w:val="0"/>
          <w:bCs w:val="0"/>
          <w:color w:val="000000"/>
          <w:sz w:val="32"/>
          <w:szCs w:val="32"/>
          <w:lang w:eastAsia="zh-CN"/>
        </w:rPr>
        <w:t>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卫生健康支出</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210</w:t>
      </w:r>
      <w:r>
        <w:rPr>
          <w:rFonts w:hint="eastAsia" w:ascii="仿宋_GB2312" w:eastAsia="仿宋_GB2312"/>
          <w:color w:val="auto"/>
          <w:sz w:val="32"/>
          <w:szCs w:val="32"/>
          <w:highlight w:val="none"/>
        </w:rPr>
        <w:t>）基层医疗卫生机构（</w:t>
      </w:r>
      <w:r>
        <w:rPr>
          <w:rFonts w:hint="eastAsia" w:ascii="仿宋_GB2312" w:eastAsia="仿宋_GB2312"/>
          <w:color w:val="auto"/>
          <w:sz w:val="32"/>
          <w:szCs w:val="32"/>
          <w:highlight w:val="none"/>
          <w:lang w:val="en-US" w:eastAsia="zh-CN"/>
        </w:rPr>
        <w:t>03</w:t>
      </w:r>
      <w:r>
        <w:rPr>
          <w:rFonts w:hint="eastAsia" w:ascii="仿宋_GB2312" w:eastAsia="仿宋_GB2312"/>
          <w:color w:val="auto"/>
          <w:sz w:val="32"/>
          <w:szCs w:val="32"/>
          <w:highlight w:val="none"/>
        </w:rPr>
        <w:t>）乡镇卫生院（</w:t>
      </w:r>
      <w:r>
        <w:rPr>
          <w:rFonts w:hint="eastAsia" w:ascii="仿宋_GB2312" w:eastAsia="仿宋_GB2312"/>
          <w:color w:val="auto"/>
          <w:sz w:val="32"/>
          <w:szCs w:val="32"/>
          <w:highlight w:val="none"/>
          <w:lang w:val="en-US" w:eastAsia="zh-CN"/>
        </w:rPr>
        <w:t>02</w:t>
      </w:r>
      <w:r>
        <w:rPr>
          <w:rFonts w:hint="eastAsia" w:ascii="仿宋_GB2312" w:eastAsia="仿宋_GB2312"/>
          <w:color w:val="auto"/>
          <w:sz w:val="32"/>
          <w:szCs w:val="32"/>
          <w:highlight w:val="none"/>
        </w:rPr>
        <w:t>）：指本单位在职人员经费、公用经费等支出。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卫生健康</w:t>
      </w:r>
      <w:r>
        <w:rPr>
          <w:rFonts w:hint="eastAsia" w:ascii="仿宋_GB2312" w:eastAsia="仿宋_GB2312"/>
          <w:color w:val="auto"/>
          <w:sz w:val="32"/>
          <w:szCs w:val="32"/>
          <w:highlight w:val="none"/>
          <w:lang w:eastAsia="zh-CN"/>
        </w:rPr>
        <w:t>支出</w:t>
      </w:r>
      <w:r>
        <w:rPr>
          <w:rFonts w:hint="eastAsia" w:ascii="仿宋_GB2312" w:eastAsia="仿宋_GB2312"/>
          <w:color w:val="auto"/>
          <w:sz w:val="32"/>
          <w:szCs w:val="32"/>
          <w:highlight w:val="none"/>
        </w:rPr>
        <w:t>（210）行政事业单位医疗（</w:t>
      </w: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）事业单位医疗（</w:t>
      </w:r>
      <w:r>
        <w:rPr>
          <w:rFonts w:hint="eastAsia" w:ascii="仿宋_GB2312" w:eastAsia="仿宋_GB2312"/>
          <w:color w:val="auto"/>
          <w:sz w:val="32"/>
          <w:szCs w:val="32"/>
          <w:highlight w:val="none"/>
          <w:lang w:val="en-US" w:eastAsia="zh-CN"/>
        </w:rPr>
        <w:t>02</w:t>
      </w:r>
      <w:r>
        <w:rPr>
          <w:rFonts w:hint="eastAsia" w:ascii="仿宋_GB2312" w:eastAsia="仿宋_GB2312"/>
          <w:color w:val="auto"/>
          <w:sz w:val="32"/>
          <w:szCs w:val="32"/>
          <w:highlight w:val="none"/>
        </w:rPr>
        <w:t>）：指在职人员医疗保险支出。</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1</w:t>
      </w:r>
      <w:r>
        <w:rPr>
          <w:rFonts w:ascii="仿宋_GB2312" w:eastAsia="仿宋_GB2312"/>
          <w:color w:val="auto"/>
          <w:sz w:val="32"/>
          <w:szCs w:val="32"/>
          <w:highlight w:val="none"/>
        </w:rPr>
        <w:t>.</w:t>
      </w:r>
      <w:r>
        <w:rPr>
          <w:rFonts w:hint="eastAsia" w:ascii="仿宋_GB2312" w:eastAsia="仿宋_GB2312"/>
          <w:color w:val="auto"/>
          <w:sz w:val="32"/>
          <w:szCs w:val="32"/>
          <w:highlight w:val="none"/>
        </w:rPr>
        <w:t>住房保障支出（221）住房改革支出（02）住房公积金（01）：指在职人员住房公积金支出。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12</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lang w:val="en-US" w:eastAsia="zh-CN"/>
        </w:rPr>
        <w:t>13</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lang w:val="en-US" w:eastAsia="zh-CN"/>
        </w:rPr>
        <w:t>14</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15</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按规定开支的各类公务接待（含外宾接待）支出。</w:t>
      </w:r>
    </w:p>
    <w:p>
      <w:pPr>
        <w:pStyle w:val="25"/>
        <w:spacing w:line="560" w:lineRule="exact"/>
        <w:ind w:firstLine="640" w:firstLineChars="200"/>
        <w:rPr>
          <w:rFonts w:ascii="仿宋_GB2312" w:eastAsia="仿宋_GB2312" w:cs="黑体"/>
          <w:color w:val="auto"/>
          <w:sz w:val="32"/>
          <w:szCs w:val="32"/>
        </w:rPr>
      </w:pPr>
    </w:p>
    <w:p>
      <w:pPr>
        <w:spacing w:line="600" w:lineRule="exact"/>
        <w:jc w:val="center"/>
        <w:outlineLvl w:val="0"/>
        <w:rPr>
          <w:rStyle w:val="27"/>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7"/>
          <w:rFonts w:hint="eastAsia" w:ascii="黑体" w:hAnsi="黑体" w:eastAsia="黑体"/>
          <w:b w:val="0"/>
        </w:rPr>
        <w:t>四部分 附件</w:t>
      </w:r>
      <w:bookmarkEnd w:id="52"/>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ascii="黑体" w:hAnsi="黑体" w:eastAsia="黑体"/>
          <w:color w:val="FF0000"/>
          <w:sz w:val="44"/>
          <w:szCs w:val="44"/>
        </w:rPr>
      </w:pPr>
      <w:bookmarkStart w:id="53" w:name="_Toc15396618"/>
      <w:r>
        <w:rPr>
          <w:rFonts w:hint="eastAsia"/>
          <w:sz w:val="32"/>
          <w:szCs w:val="32"/>
        </w:rPr>
        <w:t>部门预算项目支出绩效自评表（2023年度）</w:t>
      </w:r>
    </w:p>
    <w:p>
      <w:pPr>
        <w:pStyle w:val="13"/>
        <w:spacing w:line="560" w:lineRule="exact"/>
        <w:ind w:left="0" w:leftChars="0" w:firstLine="640"/>
        <w:rPr>
          <w:sz w:val="32"/>
        </w:rPr>
      </w:pPr>
    </w:p>
    <w:tbl>
      <w:tblPr>
        <w:tblStyle w:val="14"/>
        <w:tblW w:w="10236" w:type="dxa"/>
        <w:tblInd w:w="0" w:type="dxa"/>
        <w:shd w:val="clear" w:color="auto" w:fill="auto"/>
        <w:tblLayout w:type="autofit"/>
        <w:tblCellMar>
          <w:top w:w="0" w:type="dxa"/>
          <w:left w:w="0" w:type="dxa"/>
          <w:bottom w:w="0" w:type="dxa"/>
          <w:right w:w="0" w:type="dxa"/>
        </w:tblCellMar>
      </w:tblPr>
      <w:tblGrid>
        <w:gridCol w:w="615"/>
        <w:gridCol w:w="1691"/>
        <w:gridCol w:w="1475"/>
        <w:gridCol w:w="1511"/>
        <w:gridCol w:w="469"/>
        <w:gridCol w:w="672"/>
        <w:gridCol w:w="469"/>
        <w:gridCol w:w="982"/>
        <w:gridCol w:w="455"/>
        <w:gridCol w:w="410"/>
        <w:gridCol w:w="1487"/>
      </w:tblGrid>
      <w:tr>
        <w:tblPrEx>
          <w:shd w:val="clear" w:color="auto" w:fill="auto"/>
          <w:tblCellMar>
            <w:top w:w="0" w:type="dxa"/>
            <w:left w:w="0" w:type="dxa"/>
            <w:bottom w:w="0" w:type="dxa"/>
            <w:right w:w="0" w:type="dxa"/>
          </w:tblCellMar>
        </w:tblPrEx>
        <w:trPr>
          <w:trHeight w:val="904" w:hRule="atLeast"/>
        </w:trPr>
        <w:tc>
          <w:tcPr>
            <w:tcW w:w="10241"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tblPrEx>
          <w:tblCellMar>
            <w:top w:w="0" w:type="dxa"/>
            <w:left w:w="0" w:type="dxa"/>
            <w:bottom w:w="0" w:type="dxa"/>
            <w:right w:w="0" w:type="dxa"/>
          </w:tblCellMar>
        </w:tblPrEx>
        <w:trPr>
          <w:trHeight w:val="286" w:hRule="atLeast"/>
        </w:trPr>
        <w:tc>
          <w:tcPr>
            <w:tcW w:w="2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933"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51172421R000000067491-离退休人员经费（大竹）</w:t>
            </w:r>
          </w:p>
        </w:tc>
      </w:tr>
      <w:tr>
        <w:tblPrEx>
          <w:tblCellMar>
            <w:top w:w="0" w:type="dxa"/>
            <w:left w:w="0" w:type="dxa"/>
            <w:bottom w:w="0" w:type="dxa"/>
            <w:right w:w="0" w:type="dxa"/>
          </w:tblCellMar>
        </w:tblPrEx>
        <w:trPr>
          <w:trHeight w:val="512" w:hRule="atLeast"/>
        </w:trPr>
        <w:tc>
          <w:tcPr>
            <w:tcW w:w="2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4598"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大竹县卫生健康局部门</w:t>
            </w:r>
          </w:p>
        </w:tc>
        <w:tc>
          <w:tcPr>
            <w:tcW w:w="982" w:type="dxa"/>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35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大竹县杨家中心卫生院</w:t>
            </w:r>
          </w:p>
        </w:tc>
      </w:tr>
      <w:tr>
        <w:tblPrEx>
          <w:tblCellMar>
            <w:top w:w="0" w:type="dxa"/>
            <w:left w:w="0" w:type="dxa"/>
            <w:bottom w:w="0" w:type="dxa"/>
            <w:right w:w="0" w:type="dxa"/>
          </w:tblCellMar>
        </w:tblPrEx>
        <w:trPr>
          <w:trHeight w:val="286"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4598"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35"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8"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4598"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335"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对离退休人员的生活补贴已及时、足额发放到位</w:t>
            </w:r>
          </w:p>
        </w:tc>
      </w:tr>
      <w:tr>
        <w:tblPrEx>
          <w:tblCellMar>
            <w:top w:w="0" w:type="dxa"/>
            <w:left w:w="0" w:type="dxa"/>
            <w:bottom w:w="0" w:type="dxa"/>
            <w:right w:w="0" w:type="dxa"/>
          </w:tblCellMar>
        </w:tblPrEx>
        <w:trPr>
          <w:trHeight w:val="693"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933"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2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1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46"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23.87</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23.87</w:t>
            </w:r>
          </w:p>
        </w:tc>
        <w:tc>
          <w:tcPr>
            <w:tcW w:w="161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23.87</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91"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23.87</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23.87</w:t>
            </w:r>
          </w:p>
        </w:tc>
        <w:tc>
          <w:tcPr>
            <w:tcW w:w="161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23.87</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7"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1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61"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1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color w:val="000000"/>
                <w:sz w:val="16"/>
                <w:szCs w:val="16"/>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color w:val="000000"/>
                <w:sz w:val="16"/>
                <w:szCs w:val="16"/>
                <w:u w:val="none"/>
              </w:rPr>
            </w:pPr>
          </w:p>
        </w:tc>
        <w:tc>
          <w:tcPr>
            <w:tcW w:w="161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color w:val="000000"/>
                <w:sz w:val="16"/>
                <w:szCs w:val="16"/>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color w:val="000000"/>
                <w:sz w:val="16"/>
                <w:szCs w:val="16"/>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2"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8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color w:val="000000"/>
                <w:sz w:val="16"/>
                <w:szCs w:val="16"/>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44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color w:val="000000"/>
                <w:sz w:val="16"/>
                <w:szCs w:val="16"/>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6" w:hRule="atLeast"/>
        </w:trPr>
        <w:tc>
          <w:tcPr>
            <w:tcW w:w="7888"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9625"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该项目绩效评价得分100分，严格按照预算及时、足额发放给退休人员。</w:t>
            </w:r>
          </w:p>
        </w:tc>
      </w:tr>
      <w:tr>
        <w:tblPrEx>
          <w:tblCellMar>
            <w:top w:w="0" w:type="dxa"/>
            <w:left w:w="0" w:type="dxa"/>
            <w:bottom w:w="0" w:type="dxa"/>
            <w:right w:w="0" w:type="dxa"/>
          </w:tblCellMar>
        </w:tblPrEx>
        <w:trPr>
          <w:trHeight w:val="57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9625"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63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9625"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6" w:hRule="atLeast"/>
        </w:trPr>
        <w:tc>
          <w:tcPr>
            <w:tcW w:w="5765"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476"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tblPrEx>
          <w:tblCellMar>
            <w:top w:w="0" w:type="dxa"/>
            <w:left w:w="0" w:type="dxa"/>
            <w:bottom w:w="0" w:type="dxa"/>
            <w:right w:w="0" w:type="dxa"/>
          </w:tblCellMar>
        </w:tblPrEx>
        <w:trPr>
          <w:trHeight w:val="286" w:hRule="atLeast"/>
        </w:trPr>
        <w:tc>
          <w:tcPr>
            <w:tcW w:w="616"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692"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476"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512"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469"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672"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469"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982"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455"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410"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488"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4" w:hRule="atLeast"/>
        </w:trPr>
        <w:tc>
          <w:tcPr>
            <w:tcW w:w="10241"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tblPrEx>
          <w:tblCellMar>
            <w:top w:w="0" w:type="dxa"/>
            <w:left w:w="0" w:type="dxa"/>
            <w:bottom w:w="0" w:type="dxa"/>
            <w:right w:w="0" w:type="dxa"/>
          </w:tblCellMar>
        </w:tblPrEx>
        <w:trPr>
          <w:trHeight w:val="286" w:hRule="atLeast"/>
        </w:trPr>
        <w:tc>
          <w:tcPr>
            <w:tcW w:w="2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933"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51172421R000000068124-县级单位在编在职人员经费（事业）</w:t>
            </w:r>
          </w:p>
        </w:tc>
      </w:tr>
      <w:tr>
        <w:tblPrEx>
          <w:tblCellMar>
            <w:top w:w="0" w:type="dxa"/>
            <w:left w:w="0" w:type="dxa"/>
            <w:bottom w:w="0" w:type="dxa"/>
            <w:right w:w="0" w:type="dxa"/>
          </w:tblCellMar>
        </w:tblPrEx>
        <w:trPr>
          <w:trHeight w:val="512" w:hRule="atLeast"/>
        </w:trPr>
        <w:tc>
          <w:tcPr>
            <w:tcW w:w="2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4598"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大竹县卫生健康局部门</w:t>
            </w:r>
          </w:p>
        </w:tc>
        <w:tc>
          <w:tcPr>
            <w:tcW w:w="982" w:type="dxa"/>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35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大竹县杨家中心卫生院</w:t>
            </w:r>
          </w:p>
        </w:tc>
      </w:tr>
      <w:tr>
        <w:tblPrEx>
          <w:tblCellMar>
            <w:top w:w="0" w:type="dxa"/>
            <w:left w:w="0" w:type="dxa"/>
            <w:bottom w:w="0" w:type="dxa"/>
            <w:right w:w="0" w:type="dxa"/>
          </w:tblCellMar>
        </w:tblPrEx>
        <w:trPr>
          <w:trHeight w:val="286"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4598"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35"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8"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4598"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严格执行相关政策，保障工资及时、足额发放或社保及时、足额缴纳，预算编制科学合理，减少结余资金。</w:t>
            </w:r>
          </w:p>
        </w:tc>
        <w:tc>
          <w:tcPr>
            <w:tcW w:w="3335"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已按预算足额及时在职人员工资</w:t>
            </w:r>
          </w:p>
        </w:tc>
      </w:tr>
      <w:tr>
        <w:tblPrEx>
          <w:tblCellMar>
            <w:top w:w="0" w:type="dxa"/>
            <w:left w:w="0" w:type="dxa"/>
            <w:bottom w:w="0" w:type="dxa"/>
            <w:right w:w="0" w:type="dxa"/>
          </w:tblCellMar>
        </w:tblPrEx>
        <w:trPr>
          <w:trHeight w:val="693"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933"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8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1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46"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250.57</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230.69</w:t>
            </w:r>
          </w:p>
        </w:tc>
        <w:tc>
          <w:tcPr>
            <w:tcW w:w="161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230.69</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91"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250.57</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230.69</w:t>
            </w:r>
          </w:p>
        </w:tc>
        <w:tc>
          <w:tcPr>
            <w:tcW w:w="161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230.69</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7"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1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61"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1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color w:val="000000"/>
                <w:sz w:val="16"/>
                <w:szCs w:val="16"/>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color w:val="000000"/>
                <w:sz w:val="16"/>
                <w:szCs w:val="16"/>
                <w:u w:val="none"/>
              </w:rPr>
            </w:pPr>
          </w:p>
        </w:tc>
        <w:tc>
          <w:tcPr>
            <w:tcW w:w="161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color w:val="000000"/>
                <w:sz w:val="16"/>
                <w:szCs w:val="16"/>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color w:val="000000"/>
                <w:sz w:val="16"/>
                <w:szCs w:val="16"/>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2"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color w:val="000000"/>
                <w:sz w:val="16"/>
                <w:szCs w:val="16"/>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color w:val="000000"/>
                <w:sz w:val="16"/>
                <w:szCs w:val="16"/>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6" w:hRule="atLeast"/>
        </w:trPr>
        <w:tc>
          <w:tcPr>
            <w:tcW w:w="7888"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9625"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该项目绩效评价得分100分，严格按照预算及时、足额发放。</w:t>
            </w:r>
          </w:p>
        </w:tc>
      </w:tr>
      <w:tr>
        <w:tblPrEx>
          <w:tblCellMar>
            <w:top w:w="0" w:type="dxa"/>
            <w:left w:w="0" w:type="dxa"/>
            <w:bottom w:w="0" w:type="dxa"/>
            <w:right w:w="0" w:type="dxa"/>
          </w:tblCellMar>
        </w:tblPrEx>
        <w:trPr>
          <w:trHeight w:val="57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9625"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63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9625"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6" w:hRule="atLeast"/>
        </w:trPr>
        <w:tc>
          <w:tcPr>
            <w:tcW w:w="5765"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476"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tblPrEx>
          <w:tblCellMar>
            <w:top w:w="0" w:type="dxa"/>
            <w:left w:w="0" w:type="dxa"/>
            <w:bottom w:w="0" w:type="dxa"/>
            <w:right w:w="0" w:type="dxa"/>
          </w:tblCellMar>
        </w:tblPrEx>
        <w:trPr>
          <w:trHeight w:val="286" w:hRule="atLeast"/>
        </w:trPr>
        <w:tc>
          <w:tcPr>
            <w:tcW w:w="616"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692"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476"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512"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469"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672"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469"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982"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455"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410"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488"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4" w:hRule="atLeast"/>
        </w:trPr>
        <w:tc>
          <w:tcPr>
            <w:tcW w:w="10241"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tblPrEx>
          <w:tblCellMar>
            <w:top w:w="0" w:type="dxa"/>
            <w:left w:w="0" w:type="dxa"/>
            <w:bottom w:w="0" w:type="dxa"/>
            <w:right w:w="0" w:type="dxa"/>
          </w:tblCellMar>
        </w:tblPrEx>
        <w:trPr>
          <w:trHeight w:val="286" w:hRule="atLeast"/>
        </w:trPr>
        <w:tc>
          <w:tcPr>
            <w:tcW w:w="2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933"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51172423T000007865935-人员经费支出</w:t>
            </w:r>
          </w:p>
        </w:tc>
      </w:tr>
      <w:tr>
        <w:tblPrEx>
          <w:tblCellMar>
            <w:top w:w="0" w:type="dxa"/>
            <w:left w:w="0" w:type="dxa"/>
            <w:bottom w:w="0" w:type="dxa"/>
            <w:right w:w="0" w:type="dxa"/>
          </w:tblCellMar>
        </w:tblPrEx>
        <w:trPr>
          <w:trHeight w:val="512" w:hRule="atLeast"/>
        </w:trPr>
        <w:tc>
          <w:tcPr>
            <w:tcW w:w="2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4598"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大竹县卫生健康局部门</w:t>
            </w:r>
          </w:p>
        </w:tc>
        <w:tc>
          <w:tcPr>
            <w:tcW w:w="982" w:type="dxa"/>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35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大竹县杨家中心卫生院</w:t>
            </w:r>
          </w:p>
        </w:tc>
      </w:tr>
      <w:tr>
        <w:tblPrEx>
          <w:tblCellMar>
            <w:top w:w="0" w:type="dxa"/>
            <w:left w:w="0" w:type="dxa"/>
            <w:bottom w:w="0" w:type="dxa"/>
            <w:right w:w="0" w:type="dxa"/>
          </w:tblCellMar>
        </w:tblPrEx>
        <w:trPr>
          <w:trHeight w:val="286"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4598"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35"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8"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4598"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严格执行相关政策，保障工资及相关福利待遇</w:t>
            </w:r>
          </w:p>
        </w:tc>
        <w:tc>
          <w:tcPr>
            <w:tcW w:w="3335"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已严格执行相关政策，及时保障工资及相关福利待遇</w:t>
            </w:r>
          </w:p>
        </w:tc>
      </w:tr>
      <w:tr>
        <w:tblPrEx>
          <w:tblCellMar>
            <w:top w:w="0" w:type="dxa"/>
            <w:left w:w="0" w:type="dxa"/>
            <w:bottom w:w="0" w:type="dxa"/>
            <w:right w:w="0" w:type="dxa"/>
          </w:tblCellMar>
        </w:tblPrEx>
        <w:trPr>
          <w:trHeight w:val="693"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933"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1"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1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46"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536.95</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633.82</w:t>
            </w:r>
          </w:p>
        </w:tc>
        <w:tc>
          <w:tcPr>
            <w:tcW w:w="161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633.82</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91"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1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7"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1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61"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536.95</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633.82</w:t>
            </w:r>
          </w:p>
        </w:tc>
        <w:tc>
          <w:tcPr>
            <w:tcW w:w="161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633.82</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color w:val="000000"/>
                <w:sz w:val="16"/>
                <w:szCs w:val="16"/>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color w:val="000000"/>
                <w:sz w:val="16"/>
                <w:szCs w:val="16"/>
                <w:u w:val="none"/>
              </w:rPr>
            </w:pPr>
          </w:p>
        </w:tc>
        <w:tc>
          <w:tcPr>
            <w:tcW w:w="161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color w:val="000000"/>
                <w:sz w:val="16"/>
                <w:szCs w:val="16"/>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color w:val="000000"/>
                <w:sz w:val="16"/>
                <w:szCs w:val="16"/>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2"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发放（缴纳）覆盖率</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color w:val="000000"/>
                <w:sz w:val="16"/>
                <w:szCs w:val="16"/>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社会效益指标</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足额保障率（参保率）</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color w:val="000000"/>
                <w:sz w:val="16"/>
                <w:szCs w:val="16"/>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6" w:hRule="atLeast"/>
        </w:trPr>
        <w:tc>
          <w:tcPr>
            <w:tcW w:w="7888"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9625"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该项目绩效评价得分100分，严格按照预算及时、足额发放工资、缴纳社保等。</w:t>
            </w:r>
          </w:p>
        </w:tc>
      </w:tr>
      <w:tr>
        <w:tblPrEx>
          <w:tblCellMar>
            <w:top w:w="0" w:type="dxa"/>
            <w:left w:w="0" w:type="dxa"/>
            <w:bottom w:w="0" w:type="dxa"/>
            <w:right w:w="0" w:type="dxa"/>
          </w:tblCellMar>
        </w:tblPrEx>
        <w:trPr>
          <w:trHeight w:val="57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9625"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63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9625"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6" w:hRule="atLeast"/>
        </w:trPr>
        <w:tc>
          <w:tcPr>
            <w:tcW w:w="5765"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476"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tblPrEx>
          <w:tblCellMar>
            <w:top w:w="0" w:type="dxa"/>
            <w:left w:w="0" w:type="dxa"/>
            <w:bottom w:w="0" w:type="dxa"/>
            <w:right w:w="0" w:type="dxa"/>
          </w:tblCellMar>
        </w:tblPrEx>
        <w:trPr>
          <w:trHeight w:val="286" w:hRule="atLeast"/>
        </w:trPr>
        <w:tc>
          <w:tcPr>
            <w:tcW w:w="616"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692"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476"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512"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469"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672"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469"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982"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455"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410"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488"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4" w:hRule="atLeast"/>
        </w:trPr>
        <w:tc>
          <w:tcPr>
            <w:tcW w:w="10241"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tblPrEx>
          <w:tblCellMar>
            <w:top w:w="0" w:type="dxa"/>
            <w:left w:w="0" w:type="dxa"/>
            <w:bottom w:w="0" w:type="dxa"/>
            <w:right w:w="0" w:type="dxa"/>
          </w:tblCellMar>
        </w:tblPrEx>
        <w:trPr>
          <w:trHeight w:val="286" w:hRule="atLeast"/>
        </w:trPr>
        <w:tc>
          <w:tcPr>
            <w:tcW w:w="2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933"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51172423T000007866168-公用经费支出</w:t>
            </w:r>
          </w:p>
        </w:tc>
      </w:tr>
      <w:tr>
        <w:tblPrEx>
          <w:tblCellMar>
            <w:top w:w="0" w:type="dxa"/>
            <w:left w:w="0" w:type="dxa"/>
            <w:bottom w:w="0" w:type="dxa"/>
            <w:right w:w="0" w:type="dxa"/>
          </w:tblCellMar>
        </w:tblPrEx>
        <w:trPr>
          <w:trHeight w:val="512" w:hRule="atLeast"/>
        </w:trPr>
        <w:tc>
          <w:tcPr>
            <w:tcW w:w="2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4598"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大竹县卫生健康局部门</w:t>
            </w:r>
          </w:p>
        </w:tc>
        <w:tc>
          <w:tcPr>
            <w:tcW w:w="982" w:type="dxa"/>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35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大竹县杨家中心卫生院</w:t>
            </w:r>
          </w:p>
        </w:tc>
      </w:tr>
      <w:tr>
        <w:tblPrEx>
          <w:tblCellMar>
            <w:top w:w="0" w:type="dxa"/>
            <w:left w:w="0" w:type="dxa"/>
            <w:bottom w:w="0" w:type="dxa"/>
            <w:right w:w="0" w:type="dxa"/>
          </w:tblCellMar>
        </w:tblPrEx>
        <w:trPr>
          <w:trHeight w:val="286"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4598"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35"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8"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4598"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用于水、电、气、邮电等日常开支，保障医院正常运转</w:t>
            </w:r>
          </w:p>
        </w:tc>
        <w:tc>
          <w:tcPr>
            <w:tcW w:w="3335"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已严格按照预算支付水、电、气、邮电等日常开支，保障了医院正常运转。</w:t>
            </w:r>
          </w:p>
        </w:tc>
      </w:tr>
      <w:tr>
        <w:tblPrEx>
          <w:tblCellMar>
            <w:top w:w="0" w:type="dxa"/>
            <w:left w:w="0" w:type="dxa"/>
            <w:bottom w:w="0" w:type="dxa"/>
            <w:right w:w="0" w:type="dxa"/>
          </w:tblCellMar>
        </w:tblPrEx>
        <w:trPr>
          <w:trHeight w:val="693"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933"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bookmarkStart w:id="67" w:name="_GoBack"/>
            <w:bookmarkEnd w:id="67"/>
          </w:p>
        </w:tc>
      </w:tr>
      <w:tr>
        <w:tblPrEx>
          <w:tblCellMar>
            <w:top w:w="0" w:type="dxa"/>
            <w:left w:w="0" w:type="dxa"/>
            <w:bottom w:w="0" w:type="dxa"/>
            <w:right w:w="0" w:type="dxa"/>
          </w:tblCellMar>
        </w:tblPrEx>
        <w:trPr>
          <w:trHeight w:val="361"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1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46"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165.11</w:t>
            </w:r>
          </w:p>
        </w:tc>
        <w:tc>
          <w:tcPr>
            <w:tcW w:w="161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165.11</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91"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1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7"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1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61"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165.11</w:t>
            </w:r>
          </w:p>
        </w:tc>
        <w:tc>
          <w:tcPr>
            <w:tcW w:w="161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165.11</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color w:val="000000"/>
                <w:sz w:val="16"/>
                <w:szCs w:val="16"/>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color w:val="000000"/>
                <w:sz w:val="16"/>
                <w:szCs w:val="16"/>
                <w:u w:val="none"/>
              </w:rPr>
            </w:pPr>
          </w:p>
        </w:tc>
        <w:tc>
          <w:tcPr>
            <w:tcW w:w="161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color w:val="000000"/>
                <w:sz w:val="16"/>
                <w:szCs w:val="16"/>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color w:val="000000"/>
                <w:sz w:val="16"/>
                <w:szCs w:val="16"/>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2"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资金拨付及时率</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color w:val="000000"/>
                <w:sz w:val="16"/>
                <w:szCs w:val="16"/>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可持续发展指标</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单位正常运转率</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color w:val="000000"/>
                <w:sz w:val="16"/>
                <w:szCs w:val="16"/>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6" w:hRule="atLeast"/>
        </w:trPr>
        <w:tc>
          <w:tcPr>
            <w:tcW w:w="7888"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9625"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该项目绩效评价得分100分，严格按照预算及时缴纳水、电、气等日常开支，保障了医院正常运转。</w:t>
            </w:r>
          </w:p>
        </w:tc>
      </w:tr>
      <w:tr>
        <w:tblPrEx>
          <w:tblCellMar>
            <w:top w:w="0" w:type="dxa"/>
            <w:left w:w="0" w:type="dxa"/>
            <w:bottom w:w="0" w:type="dxa"/>
            <w:right w:w="0" w:type="dxa"/>
          </w:tblCellMar>
        </w:tblPrEx>
        <w:trPr>
          <w:trHeight w:val="57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9625"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63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9625"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6" w:hRule="atLeast"/>
        </w:trPr>
        <w:tc>
          <w:tcPr>
            <w:tcW w:w="5765"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476"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tblPrEx>
          <w:tblCellMar>
            <w:top w:w="0" w:type="dxa"/>
            <w:left w:w="0" w:type="dxa"/>
            <w:bottom w:w="0" w:type="dxa"/>
            <w:right w:w="0" w:type="dxa"/>
          </w:tblCellMar>
        </w:tblPrEx>
        <w:trPr>
          <w:trHeight w:val="286" w:hRule="atLeast"/>
        </w:trPr>
        <w:tc>
          <w:tcPr>
            <w:tcW w:w="616"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692"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476"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512"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469"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672"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469"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982"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455"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410"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488"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4" w:hRule="atLeast"/>
        </w:trPr>
        <w:tc>
          <w:tcPr>
            <w:tcW w:w="10241"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tblPrEx>
          <w:tblCellMar>
            <w:top w:w="0" w:type="dxa"/>
            <w:left w:w="0" w:type="dxa"/>
            <w:bottom w:w="0" w:type="dxa"/>
            <w:right w:w="0" w:type="dxa"/>
          </w:tblCellMar>
        </w:tblPrEx>
        <w:trPr>
          <w:trHeight w:val="286" w:hRule="atLeast"/>
        </w:trPr>
        <w:tc>
          <w:tcPr>
            <w:tcW w:w="2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933"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51172423T000007866204-药品及材料采购支出</w:t>
            </w:r>
          </w:p>
        </w:tc>
      </w:tr>
      <w:tr>
        <w:tblPrEx>
          <w:tblCellMar>
            <w:top w:w="0" w:type="dxa"/>
            <w:left w:w="0" w:type="dxa"/>
            <w:bottom w:w="0" w:type="dxa"/>
            <w:right w:w="0" w:type="dxa"/>
          </w:tblCellMar>
        </w:tblPrEx>
        <w:trPr>
          <w:trHeight w:val="512" w:hRule="atLeast"/>
        </w:trPr>
        <w:tc>
          <w:tcPr>
            <w:tcW w:w="2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4598"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大竹县卫生健康局部门</w:t>
            </w:r>
          </w:p>
        </w:tc>
        <w:tc>
          <w:tcPr>
            <w:tcW w:w="982" w:type="dxa"/>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35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大竹县杨家中心卫生院</w:t>
            </w:r>
          </w:p>
        </w:tc>
      </w:tr>
      <w:tr>
        <w:tblPrEx>
          <w:tblCellMar>
            <w:top w:w="0" w:type="dxa"/>
            <w:left w:w="0" w:type="dxa"/>
            <w:bottom w:w="0" w:type="dxa"/>
            <w:right w:w="0" w:type="dxa"/>
          </w:tblCellMar>
        </w:tblPrEx>
        <w:trPr>
          <w:trHeight w:val="286"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4598"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35"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8"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4598"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药品及耗材采购，保障医院正常运转</w:t>
            </w:r>
          </w:p>
        </w:tc>
        <w:tc>
          <w:tcPr>
            <w:tcW w:w="3335"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已按计划支付药品及耗材采购，保障了医院正常运转</w:t>
            </w:r>
          </w:p>
        </w:tc>
      </w:tr>
      <w:tr>
        <w:tblPrEx>
          <w:tblCellMar>
            <w:top w:w="0" w:type="dxa"/>
            <w:left w:w="0" w:type="dxa"/>
            <w:bottom w:w="0" w:type="dxa"/>
            <w:right w:w="0" w:type="dxa"/>
          </w:tblCellMar>
        </w:tblPrEx>
        <w:trPr>
          <w:trHeight w:val="693"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933"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1"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1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46"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642.77</w:t>
            </w:r>
          </w:p>
        </w:tc>
        <w:tc>
          <w:tcPr>
            <w:tcW w:w="161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642.77</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91"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1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7"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1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61"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700.00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642.77</w:t>
            </w:r>
          </w:p>
        </w:tc>
        <w:tc>
          <w:tcPr>
            <w:tcW w:w="161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642.77</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color w:val="000000"/>
                <w:sz w:val="16"/>
                <w:szCs w:val="16"/>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color w:val="000000"/>
                <w:sz w:val="16"/>
                <w:szCs w:val="16"/>
                <w:u w:val="none"/>
              </w:rPr>
            </w:pPr>
          </w:p>
        </w:tc>
        <w:tc>
          <w:tcPr>
            <w:tcW w:w="161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color w:val="000000"/>
                <w:sz w:val="16"/>
                <w:szCs w:val="16"/>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color w:val="000000"/>
                <w:sz w:val="16"/>
                <w:szCs w:val="16"/>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2"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集中采购率</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color w:val="000000"/>
                <w:sz w:val="16"/>
                <w:szCs w:val="16"/>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经济效益指标</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单位负率</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color w:val="000000"/>
                <w:sz w:val="16"/>
                <w:szCs w:val="16"/>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6" w:hRule="atLeast"/>
        </w:trPr>
        <w:tc>
          <w:tcPr>
            <w:tcW w:w="7888"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9625"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该项目绩效评价得分100分，严格按照预算支付药品及耗材采购款，保障了医院正常运转。</w:t>
            </w:r>
          </w:p>
        </w:tc>
      </w:tr>
      <w:tr>
        <w:tblPrEx>
          <w:tblCellMar>
            <w:top w:w="0" w:type="dxa"/>
            <w:left w:w="0" w:type="dxa"/>
            <w:bottom w:w="0" w:type="dxa"/>
            <w:right w:w="0" w:type="dxa"/>
          </w:tblCellMar>
        </w:tblPrEx>
        <w:trPr>
          <w:trHeight w:val="57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9625"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63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9625"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6" w:hRule="atLeast"/>
        </w:trPr>
        <w:tc>
          <w:tcPr>
            <w:tcW w:w="5765"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476"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tblPrEx>
          <w:tblCellMar>
            <w:top w:w="0" w:type="dxa"/>
            <w:left w:w="0" w:type="dxa"/>
            <w:bottom w:w="0" w:type="dxa"/>
            <w:right w:w="0" w:type="dxa"/>
          </w:tblCellMar>
        </w:tblPrEx>
        <w:trPr>
          <w:trHeight w:val="286" w:hRule="atLeast"/>
        </w:trPr>
        <w:tc>
          <w:tcPr>
            <w:tcW w:w="616"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692"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476"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512"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469"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672"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469"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982"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455"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410"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488"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4" w:hRule="atLeast"/>
        </w:trPr>
        <w:tc>
          <w:tcPr>
            <w:tcW w:w="10241"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tblPrEx>
          <w:tblCellMar>
            <w:top w:w="0" w:type="dxa"/>
            <w:left w:w="0" w:type="dxa"/>
            <w:bottom w:w="0" w:type="dxa"/>
            <w:right w:w="0" w:type="dxa"/>
          </w:tblCellMar>
        </w:tblPrEx>
        <w:trPr>
          <w:trHeight w:val="286" w:hRule="atLeast"/>
        </w:trPr>
        <w:tc>
          <w:tcPr>
            <w:tcW w:w="2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933"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51172423T000007866271-设备采购支出</w:t>
            </w:r>
          </w:p>
        </w:tc>
      </w:tr>
      <w:tr>
        <w:tblPrEx>
          <w:tblCellMar>
            <w:top w:w="0" w:type="dxa"/>
            <w:left w:w="0" w:type="dxa"/>
            <w:bottom w:w="0" w:type="dxa"/>
            <w:right w:w="0" w:type="dxa"/>
          </w:tblCellMar>
        </w:tblPrEx>
        <w:trPr>
          <w:trHeight w:val="512" w:hRule="atLeast"/>
        </w:trPr>
        <w:tc>
          <w:tcPr>
            <w:tcW w:w="2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4598"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大竹县卫生健康局部门</w:t>
            </w:r>
          </w:p>
        </w:tc>
        <w:tc>
          <w:tcPr>
            <w:tcW w:w="982" w:type="dxa"/>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35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大竹县杨家中心卫生院</w:t>
            </w:r>
          </w:p>
        </w:tc>
      </w:tr>
      <w:tr>
        <w:tblPrEx>
          <w:tblCellMar>
            <w:top w:w="0" w:type="dxa"/>
            <w:left w:w="0" w:type="dxa"/>
            <w:bottom w:w="0" w:type="dxa"/>
            <w:right w:w="0" w:type="dxa"/>
          </w:tblCellMar>
        </w:tblPrEx>
        <w:trPr>
          <w:trHeight w:val="286"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4598"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35"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8"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4598"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购买电脑等办公设备，麻醉机等医疗设备，保障医院的正常运转</w:t>
            </w:r>
          </w:p>
        </w:tc>
        <w:tc>
          <w:tcPr>
            <w:tcW w:w="3335"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已购买电脑等办公设备，保障医院的正常运转</w:t>
            </w:r>
          </w:p>
        </w:tc>
      </w:tr>
      <w:tr>
        <w:tblPrEx>
          <w:tblCellMar>
            <w:top w:w="0" w:type="dxa"/>
            <w:left w:w="0" w:type="dxa"/>
            <w:bottom w:w="0" w:type="dxa"/>
            <w:right w:w="0" w:type="dxa"/>
          </w:tblCellMar>
        </w:tblPrEx>
        <w:trPr>
          <w:trHeight w:val="693"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933"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1"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1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46"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33.05</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6.46</w:t>
            </w:r>
          </w:p>
        </w:tc>
        <w:tc>
          <w:tcPr>
            <w:tcW w:w="161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6.46</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91"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1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7"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1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61"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33.05</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6.46</w:t>
            </w:r>
          </w:p>
        </w:tc>
        <w:tc>
          <w:tcPr>
            <w:tcW w:w="161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6.46</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color w:val="000000"/>
                <w:sz w:val="16"/>
                <w:szCs w:val="16"/>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color w:val="000000"/>
                <w:sz w:val="16"/>
                <w:szCs w:val="16"/>
                <w:u w:val="none"/>
              </w:rPr>
            </w:pPr>
          </w:p>
        </w:tc>
        <w:tc>
          <w:tcPr>
            <w:tcW w:w="161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color w:val="000000"/>
                <w:sz w:val="16"/>
                <w:szCs w:val="16"/>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color w:val="000000"/>
                <w:sz w:val="16"/>
                <w:szCs w:val="16"/>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2"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采购合格率</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color w:val="000000"/>
                <w:sz w:val="16"/>
                <w:szCs w:val="16"/>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可持续发展指标</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办公效率</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color w:val="000000"/>
                <w:sz w:val="16"/>
                <w:szCs w:val="16"/>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6" w:hRule="atLeast"/>
        </w:trPr>
        <w:tc>
          <w:tcPr>
            <w:tcW w:w="7888"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9625"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该项目绩效评价得分100分，严格按照预算购买设备，保障了医院正常运转。</w:t>
            </w:r>
          </w:p>
        </w:tc>
      </w:tr>
      <w:tr>
        <w:tblPrEx>
          <w:tblCellMar>
            <w:top w:w="0" w:type="dxa"/>
            <w:left w:w="0" w:type="dxa"/>
            <w:bottom w:w="0" w:type="dxa"/>
            <w:right w:w="0" w:type="dxa"/>
          </w:tblCellMar>
        </w:tblPrEx>
        <w:trPr>
          <w:trHeight w:val="57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9625"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63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9625"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6" w:hRule="atLeast"/>
        </w:trPr>
        <w:tc>
          <w:tcPr>
            <w:tcW w:w="5765"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476"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r>
        <w:tblPrEx>
          <w:tblCellMar>
            <w:top w:w="0" w:type="dxa"/>
            <w:left w:w="0" w:type="dxa"/>
            <w:bottom w:w="0" w:type="dxa"/>
            <w:right w:w="0" w:type="dxa"/>
          </w:tblCellMar>
        </w:tblPrEx>
        <w:trPr>
          <w:trHeight w:val="286" w:hRule="atLeast"/>
        </w:trPr>
        <w:tc>
          <w:tcPr>
            <w:tcW w:w="616"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692"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476"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512"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469"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672"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469"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982"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455"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410"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488"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4" w:hRule="atLeast"/>
        </w:trPr>
        <w:tc>
          <w:tcPr>
            <w:tcW w:w="10241"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30"/>
                <w:szCs w:val="30"/>
                <w:u w:val="none"/>
              </w:rPr>
            </w:pPr>
            <w:r>
              <w:rPr>
                <w:rFonts w:hint="eastAsia" w:ascii="黑体" w:hAnsi="宋体" w:eastAsia="黑体" w:cs="黑体"/>
                <w:b/>
                <w:i w:val="0"/>
                <w:color w:val="000000"/>
                <w:kern w:val="0"/>
                <w:sz w:val="30"/>
                <w:szCs w:val="30"/>
                <w:u w:val="none"/>
                <w:lang w:val="en-US" w:eastAsia="zh-CN" w:bidi="ar"/>
              </w:rPr>
              <w:t>部门预算项目支出绩效自评表（2023年度）</w:t>
            </w:r>
          </w:p>
        </w:tc>
      </w:tr>
      <w:tr>
        <w:tblPrEx>
          <w:tblCellMar>
            <w:top w:w="0" w:type="dxa"/>
            <w:left w:w="0" w:type="dxa"/>
            <w:bottom w:w="0" w:type="dxa"/>
            <w:right w:w="0" w:type="dxa"/>
          </w:tblCellMar>
        </w:tblPrEx>
        <w:trPr>
          <w:trHeight w:val="286" w:hRule="atLeast"/>
        </w:trPr>
        <w:tc>
          <w:tcPr>
            <w:tcW w:w="2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项目名称</w:t>
            </w:r>
          </w:p>
        </w:tc>
        <w:tc>
          <w:tcPr>
            <w:tcW w:w="7933"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51172423T000007866311-工程及维修支出</w:t>
            </w:r>
          </w:p>
        </w:tc>
      </w:tr>
      <w:tr>
        <w:tblPrEx>
          <w:tblCellMar>
            <w:top w:w="0" w:type="dxa"/>
            <w:left w:w="0" w:type="dxa"/>
            <w:bottom w:w="0" w:type="dxa"/>
            <w:right w:w="0" w:type="dxa"/>
          </w:tblCellMar>
        </w:tblPrEx>
        <w:trPr>
          <w:trHeight w:val="512" w:hRule="atLeast"/>
        </w:trPr>
        <w:tc>
          <w:tcPr>
            <w:tcW w:w="2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主管部门</w:t>
            </w:r>
          </w:p>
        </w:tc>
        <w:tc>
          <w:tcPr>
            <w:tcW w:w="4598"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大竹县卫生健康局部门</w:t>
            </w:r>
          </w:p>
        </w:tc>
        <w:tc>
          <w:tcPr>
            <w:tcW w:w="982" w:type="dxa"/>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实施单位 （盖章）</w:t>
            </w:r>
          </w:p>
        </w:tc>
        <w:tc>
          <w:tcPr>
            <w:tcW w:w="235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大竹县杨家中心卫生院</w:t>
            </w:r>
          </w:p>
        </w:tc>
      </w:tr>
      <w:tr>
        <w:tblPrEx>
          <w:tblCellMar>
            <w:top w:w="0" w:type="dxa"/>
            <w:left w:w="0" w:type="dxa"/>
            <w:bottom w:w="0" w:type="dxa"/>
            <w:right w:w="0" w:type="dxa"/>
          </w:tblCellMar>
        </w:tblPrEx>
        <w:trPr>
          <w:trHeight w:val="286"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项目基本情况</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1.项目年度目标完成情况</w:t>
            </w:r>
          </w:p>
        </w:tc>
        <w:tc>
          <w:tcPr>
            <w:tcW w:w="4598"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项目年度目标</w:t>
            </w:r>
          </w:p>
        </w:tc>
        <w:tc>
          <w:tcPr>
            <w:tcW w:w="3335"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年度目标完成情况</w:t>
            </w:r>
          </w:p>
        </w:tc>
      </w:tr>
      <w:tr>
        <w:tblPrEx>
          <w:tblCellMar>
            <w:top w:w="0" w:type="dxa"/>
            <w:left w:w="0" w:type="dxa"/>
            <w:bottom w:w="0" w:type="dxa"/>
            <w:right w:w="0" w:type="dxa"/>
          </w:tblCellMar>
        </w:tblPrEx>
        <w:trPr>
          <w:trHeight w:val="708"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4598"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保障医院的就医环境</w:t>
            </w:r>
          </w:p>
        </w:tc>
        <w:tc>
          <w:tcPr>
            <w:tcW w:w="3335"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已严格按照预算执行</w:t>
            </w:r>
          </w:p>
        </w:tc>
      </w:tr>
      <w:tr>
        <w:tblPrEx>
          <w:tblCellMar>
            <w:top w:w="0" w:type="dxa"/>
            <w:left w:w="0" w:type="dxa"/>
            <w:bottom w:w="0" w:type="dxa"/>
            <w:right w:w="0" w:type="dxa"/>
          </w:tblCellMar>
        </w:tblPrEx>
        <w:trPr>
          <w:trHeight w:val="693"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2.项目实施内容及过程概述</w:t>
            </w:r>
          </w:p>
        </w:tc>
        <w:tc>
          <w:tcPr>
            <w:tcW w:w="7933"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1"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预算执行情况（10分）</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年度预算数（万元）</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年初预算</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调整后预算数</w:t>
            </w:r>
          </w:p>
        </w:tc>
        <w:tc>
          <w:tcPr>
            <w:tcW w:w="161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预算执行数</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预算执行率</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原因</w:t>
            </w:r>
          </w:p>
        </w:tc>
      </w:tr>
      <w:tr>
        <w:tblPrEx>
          <w:tblCellMar>
            <w:top w:w="0" w:type="dxa"/>
            <w:left w:w="0" w:type="dxa"/>
            <w:bottom w:w="0" w:type="dxa"/>
            <w:right w:w="0" w:type="dxa"/>
          </w:tblCellMar>
        </w:tblPrEx>
        <w:trPr>
          <w:trHeight w:val="346"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总额</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19.32</w:t>
            </w:r>
          </w:p>
        </w:tc>
        <w:tc>
          <w:tcPr>
            <w:tcW w:w="161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19.32</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48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91"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其中：财政资金</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1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07"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财政专户管理资金</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161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0.00%</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61"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单位资金</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30.00</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19.32</w:t>
            </w:r>
          </w:p>
        </w:tc>
        <w:tc>
          <w:tcPr>
            <w:tcW w:w="161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19.32</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100.00%</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color w:val="000000"/>
                <w:sz w:val="16"/>
                <w:szCs w:val="16"/>
                <w:u w:val="none"/>
              </w:rPr>
            </w:pP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color w:val="000000"/>
                <w:sz w:val="16"/>
                <w:szCs w:val="16"/>
                <w:u w:val="none"/>
              </w:rPr>
            </w:pPr>
          </w:p>
        </w:tc>
        <w:tc>
          <w:tcPr>
            <w:tcW w:w="161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color w:val="000000"/>
                <w:sz w:val="16"/>
                <w:szCs w:val="16"/>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color w:val="000000"/>
                <w:sz w:val="16"/>
                <w:szCs w:val="16"/>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14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黑体" w:hAnsi="黑体" w:eastAsia="黑体" w:cs="黑体"/>
                <w:i/>
                <w:color w:val="000000"/>
                <w:sz w:val="18"/>
                <w:szCs w:val="18"/>
                <w:u w:val="none"/>
              </w:rPr>
            </w:pPr>
          </w:p>
        </w:tc>
      </w:tr>
      <w:tr>
        <w:tblPrEx>
          <w:tblCellMar>
            <w:top w:w="0" w:type="dxa"/>
            <w:left w:w="0" w:type="dxa"/>
            <w:bottom w:w="0" w:type="dxa"/>
            <w:right w:w="0" w:type="dxa"/>
          </w:tblCellMar>
        </w:tblPrEx>
        <w:trPr>
          <w:trHeight w:val="452"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绩效指标（90分）</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指标性质</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度量单位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完成值</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得分</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未完成原因分析</w:t>
            </w:r>
          </w:p>
        </w:tc>
      </w:tr>
      <w:tr>
        <w:tblPrEx>
          <w:tblCellMar>
            <w:top w:w="0" w:type="dxa"/>
            <w:left w:w="0" w:type="dxa"/>
            <w:bottom w:w="0" w:type="dxa"/>
            <w:right w:w="0"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维修（护）及时率</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color w:val="000000"/>
                <w:sz w:val="16"/>
                <w:szCs w:val="16"/>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60</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可持续发展指标</w:t>
            </w:r>
          </w:p>
        </w:tc>
        <w:tc>
          <w:tcPr>
            <w:tcW w:w="15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办公场所设备及坏损率</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定性</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color w:val="000000"/>
                <w:sz w:val="16"/>
                <w:szCs w:val="16"/>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6" w:hRule="atLeast"/>
        </w:trPr>
        <w:tc>
          <w:tcPr>
            <w:tcW w:w="7888"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4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评价结论</w:t>
            </w:r>
          </w:p>
        </w:tc>
        <w:tc>
          <w:tcPr>
            <w:tcW w:w="9625"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微软雅黑" w:hAnsi="微软雅黑" w:eastAsia="微软雅黑" w:cs="微软雅黑"/>
                <w:i/>
                <w:color w:val="000000"/>
                <w:sz w:val="16"/>
                <w:szCs w:val="16"/>
                <w:u w:val="none"/>
              </w:rPr>
            </w:pPr>
            <w:r>
              <w:rPr>
                <w:rFonts w:hint="eastAsia" w:ascii="微软雅黑" w:hAnsi="微软雅黑" w:eastAsia="微软雅黑" w:cs="微软雅黑"/>
                <w:i/>
                <w:color w:val="000000"/>
                <w:kern w:val="0"/>
                <w:sz w:val="16"/>
                <w:szCs w:val="16"/>
                <w:u w:val="none"/>
                <w:lang w:val="en-US" w:eastAsia="zh-CN" w:bidi="ar"/>
              </w:rPr>
              <w:t>该项目绩效评价得分100分，严格按照预算执行，改善了医院的就医环境。</w:t>
            </w:r>
          </w:p>
        </w:tc>
      </w:tr>
      <w:tr>
        <w:tblPrEx>
          <w:tblCellMar>
            <w:top w:w="0" w:type="dxa"/>
            <w:left w:w="0" w:type="dxa"/>
            <w:bottom w:w="0" w:type="dxa"/>
            <w:right w:w="0" w:type="dxa"/>
          </w:tblCellMar>
        </w:tblPrEx>
        <w:trPr>
          <w:trHeight w:val="57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存在问题</w:t>
            </w:r>
          </w:p>
        </w:tc>
        <w:tc>
          <w:tcPr>
            <w:tcW w:w="9625"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63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改进措施</w:t>
            </w:r>
          </w:p>
        </w:tc>
        <w:tc>
          <w:tcPr>
            <w:tcW w:w="9625"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微软雅黑" w:hAnsi="微软雅黑" w:eastAsia="微软雅黑" w:cs="微软雅黑"/>
                <w:i/>
                <w:color w:val="000000"/>
                <w:sz w:val="16"/>
                <w:szCs w:val="16"/>
                <w:u w:val="none"/>
              </w:rPr>
            </w:pPr>
          </w:p>
        </w:tc>
      </w:tr>
      <w:tr>
        <w:tblPrEx>
          <w:tblCellMar>
            <w:top w:w="0" w:type="dxa"/>
            <w:left w:w="0" w:type="dxa"/>
            <w:bottom w:w="0" w:type="dxa"/>
            <w:right w:w="0" w:type="dxa"/>
          </w:tblCellMar>
        </w:tblPrEx>
        <w:trPr>
          <w:trHeight w:val="286" w:hRule="atLeast"/>
        </w:trPr>
        <w:tc>
          <w:tcPr>
            <w:tcW w:w="5765"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项目负责人：</w:t>
            </w:r>
          </w:p>
        </w:tc>
        <w:tc>
          <w:tcPr>
            <w:tcW w:w="4476"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财务负责人：</w:t>
            </w:r>
          </w:p>
        </w:tc>
      </w:tr>
    </w:tbl>
    <w:p>
      <w:pPr>
        <w:pStyle w:val="13"/>
        <w:spacing w:line="560" w:lineRule="exact"/>
        <w:ind w:left="0" w:leftChars="0" w:firstLine="640"/>
        <w:rPr>
          <w:sz w:val="32"/>
        </w:rPr>
      </w:pPr>
    </w:p>
    <w:p>
      <w:pPr>
        <w:pStyle w:val="2"/>
        <w:spacing w:before="93"/>
        <w:rPr>
          <w:rFonts w:hAnsi="Calibri" w:cs="仿宋"/>
          <w:sz w:val="32"/>
          <w:szCs w:val="32"/>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7"/>
          <w:rFonts w:hint="eastAsia" w:ascii="黑体" w:hAnsi="黑体" w:eastAsia="黑体"/>
          <w:b w:val="0"/>
        </w:rPr>
        <w:t>五部分 附表</w:t>
      </w:r>
      <w:bookmarkEnd w:id="51"/>
      <w:bookmarkEnd w:id="53"/>
      <w:bookmarkStart w:id="54" w:name="_Toc15396619"/>
    </w:p>
    <w:p>
      <w:pPr>
        <w:pStyle w:val="4"/>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28"/>
          <w:rFonts w:hint="eastAsia" w:ascii="仿宋" w:hAnsi="仿宋" w:eastAsia="仿宋"/>
          <w:b w:val="0"/>
          <w:bCs w:val="0"/>
        </w:rPr>
        <w:t>入决算表</w:t>
      </w:r>
      <w:bookmarkEnd w:id="55"/>
    </w:p>
    <w:p>
      <w:pPr>
        <w:pStyle w:val="4"/>
        <w:rPr>
          <w:rFonts w:ascii="仿宋" w:hAnsi="仿宋" w:eastAsia="仿宋"/>
        </w:rPr>
      </w:pPr>
      <w:bookmarkStart w:id="56"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7"/>
    </w:p>
    <w:p>
      <w:pPr>
        <w:pStyle w:val="4"/>
        <w:rPr>
          <w:rStyle w:val="28"/>
          <w:rFonts w:ascii="仿宋" w:hAnsi="仿宋" w:eastAsia="仿宋"/>
          <w:b w:val="0"/>
          <w:bCs w:val="0"/>
        </w:rPr>
      </w:pPr>
      <w:bookmarkStart w:id="58"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28"/>
          <w:rFonts w:hint="eastAsia" w:ascii="仿宋" w:hAnsi="仿宋" w:eastAsia="仿宋"/>
          <w:b w:val="0"/>
          <w:bCs w:val="0"/>
        </w:rPr>
        <w:t>十、</w:t>
      </w:r>
      <w:bookmarkEnd w:id="63"/>
      <w:r>
        <w:rPr>
          <w:rFonts w:hint="eastAsia" w:ascii="仿宋" w:hAnsi="仿宋" w:eastAsia="仿宋"/>
          <w:b w:val="0"/>
        </w:rPr>
        <w:t>政</w:t>
      </w:r>
      <w:r>
        <w:rPr>
          <w:rStyle w:val="28"/>
          <w:rFonts w:hint="eastAsia" w:ascii="仿宋" w:hAnsi="仿宋" w:eastAsia="仿宋"/>
          <w:b w:val="0"/>
          <w:bCs w:val="0"/>
        </w:rPr>
        <w:t>府性基金预算财政拨款收入支出决算表</w:t>
      </w:r>
    </w:p>
    <w:p>
      <w:pPr>
        <w:pStyle w:val="4"/>
        <w:rPr>
          <w:rFonts w:ascii="仿宋" w:hAnsi="仿宋" w:eastAsia="仿宋"/>
        </w:rPr>
      </w:pPr>
      <w:bookmarkStart w:id="64" w:name="_Toc15396629"/>
      <w:r>
        <w:rPr>
          <w:rStyle w:val="28"/>
          <w:rFonts w:hint="eastAsia" w:ascii="仿宋" w:hAnsi="仿宋" w:eastAsia="仿宋"/>
          <w:b w:val="0"/>
          <w:bCs w:val="0"/>
        </w:rPr>
        <w:t>十一、</w:t>
      </w:r>
      <w:bookmarkEnd w:id="64"/>
      <w:r>
        <w:rPr>
          <w:rFonts w:hint="eastAsia" w:ascii="仿宋" w:hAnsi="仿宋" w:eastAsia="仿宋"/>
          <w:b w:val="0"/>
        </w:rPr>
        <w:t>国</w:t>
      </w:r>
      <w:r>
        <w:rPr>
          <w:rStyle w:val="28"/>
          <w:rFonts w:hint="eastAsia" w:ascii="仿宋" w:hAnsi="仿宋" w:eastAsia="仿宋"/>
          <w:b w:val="0"/>
          <w:bCs w:val="0"/>
        </w:rPr>
        <w:t>有资本经营预算财政拨款收入支出决算表</w:t>
      </w:r>
    </w:p>
    <w:p>
      <w:pPr>
        <w:pStyle w:val="4"/>
        <w:rPr>
          <w:rFonts w:ascii="仿宋" w:hAnsi="仿宋" w:eastAsia="仿宋"/>
        </w:rPr>
      </w:pPr>
      <w:bookmarkStart w:id="65" w:name="_Toc15396630"/>
      <w:r>
        <w:rPr>
          <w:rStyle w:val="28"/>
          <w:rFonts w:hint="eastAsia" w:ascii="仿宋" w:hAnsi="仿宋" w:eastAsia="仿宋"/>
          <w:b w:val="0"/>
          <w:bCs w:val="0"/>
        </w:rPr>
        <w:t>十二、</w:t>
      </w:r>
      <w:bookmarkEnd w:id="65"/>
      <w:r>
        <w:rPr>
          <w:rStyle w:val="28"/>
          <w:rFonts w:hint="eastAsia" w:ascii="仿宋" w:hAnsi="仿宋" w:eastAsia="仿宋"/>
          <w:b w:val="0"/>
          <w:bCs w:val="0"/>
        </w:rPr>
        <w:t>国有资本经营预算财政拨款支出决算表</w:t>
      </w:r>
    </w:p>
    <w:p>
      <w:pPr>
        <w:pStyle w:val="4"/>
        <w:rPr>
          <w:rFonts w:eastAsia="仿宋"/>
        </w:rPr>
      </w:pPr>
      <w:bookmarkStart w:id="66" w:name="_Toc15396631"/>
      <w:r>
        <w:rPr>
          <w:rStyle w:val="28"/>
          <w:rFonts w:hint="eastAsia" w:ascii="仿宋" w:hAnsi="仿宋" w:eastAsia="仿宋"/>
          <w:b w:val="0"/>
          <w:bCs w:val="0"/>
        </w:rPr>
        <w:t>十三、</w:t>
      </w:r>
      <w:bookmarkEnd w:id="66"/>
      <w:r>
        <w:rPr>
          <w:rStyle w:val="28"/>
          <w:rFonts w:hint="eastAsia" w:ascii="仿宋" w:hAnsi="仿宋" w:eastAsia="仿宋"/>
          <w:b w:val="0"/>
          <w:bCs w:val="0"/>
        </w:rPr>
        <w:t>财政拨款“三公”经费支出决算表</w:t>
      </w:r>
    </w:p>
    <w:sectPr>
      <w:headerReference r:id="rId3" w:type="default"/>
      <w:footerReference r:id="rId4" w:type="default"/>
      <w:pgSz w:w="11906" w:h="16838"/>
      <w:pgMar w:top="2098" w:right="1519" w:bottom="1440" w:left="1633"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15</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abstractNum w:abstractNumId="4">
    <w:nsid w:val="382488AB"/>
    <w:multiLevelType w:val="singleLevel"/>
    <w:tmpl w:val="382488AB"/>
    <w:lvl w:ilvl="0" w:tentative="0">
      <w:start w:val="1"/>
      <w:numFmt w:val="chineseCounting"/>
      <w:suff w:val="space"/>
      <w:lvlText w:val="第%1部分"/>
      <w:lvlJc w:val="left"/>
      <w:rPr>
        <w:rFonts w:hint="eastAsia"/>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E0F68"/>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60633"/>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24E1"/>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8711F"/>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0713C4"/>
    <w:rsid w:val="010B5C3A"/>
    <w:rsid w:val="02B2237F"/>
    <w:rsid w:val="02D05C44"/>
    <w:rsid w:val="02F10A6D"/>
    <w:rsid w:val="03287AB4"/>
    <w:rsid w:val="033B7B57"/>
    <w:rsid w:val="03DC2831"/>
    <w:rsid w:val="0400300B"/>
    <w:rsid w:val="040E6D1D"/>
    <w:rsid w:val="04A84D58"/>
    <w:rsid w:val="04DD71BC"/>
    <w:rsid w:val="05637FB9"/>
    <w:rsid w:val="060A16B9"/>
    <w:rsid w:val="06E2138B"/>
    <w:rsid w:val="081B5E94"/>
    <w:rsid w:val="08436FDD"/>
    <w:rsid w:val="090E650B"/>
    <w:rsid w:val="092E5E33"/>
    <w:rsid w:val="093504DC"/>
    <w:rsid w:val="09DA4E54"/>
    <w:rsid w:val="09DD50B1"/>
    <w:rsid w:val="0A2032A3"/>
    <w:rsid w:val="0B0D23A9"/>
    <w:rsid w:val="0B8A37D8"/>
    <w:rsid w:val="0BF4374C"/>
    <w:rsid w:val="0C884D8D"/>
    <w:rsid w:val="0CE8327F"/>
    <w:rsid w:val="0D3C733B"/>
    <w:rsid w:val="0DDD0963"/>
    <w:rsid w:val="0DF31216"/>
    <w:rsid w:val="0E687E68"/>
    <w:rsid w:val="0EB9233D"/>
    <w:rsid w:val="0F5FFB2F"/>
    <w:rsid w:val="0FC23195"/>
    <w:rsid w:val="0FE5599C"/>
    <w:rsid w:val="0FFFCF60"/>
    <w:rsid w:val="106222A1"/>
    <w:rsid w:val="109B7102"/>
    <w:rsid w:val="10C055FF"/>
    <w:rsid w:val="10C11F44"/>
    <w:rsid w:val="118107EC"/>
    <w:rsid w:val="1188348D"/>
    <w:rsid w:val="11BB6C04"/>
    <w:rsid w:val="11DD6519"/>
    <w:rsid w:val="12002F61"/>
    <w:rsid w:val="123C128D"/>
    <w:rsid w:val="12856663"/>
    <w:rsid w:val="12AE7503"/>
    <w:rsid w:val="12BC1B7B"/>
    <w:rsid w:val="144C7D5B"/>
    <w:rsid w:val="161362DF"/>
    <w:rsid w:val="16A075B5"/>
    <w:rsid w:val="16B23669"/>
    <w:rsid w:val="16BB723D"/>
    <w:rsid w:val="1730410C"/>
    <w:rsid w:val="177824E8"/>
    <w:rsid w:val="17BE7A90"/>
    <w:rsid w:val="17C81D68"/>
    <w:rsid w:val="18015F3F"/>
    <w:rsid w:val="1837316D"/>
    <w:rsid w:val="18D15E41"/>
    <w:rsid w:val="18DD297A"/>
    <w:rsid w:val="19F17AAB"/>
    <w:rsid w:val="1A094E29"/>
    <w:rsid w:val="1AB87A49"/>
    <w:rsid w:val="1ADE0036"/>
    <w:rsid w:val="1B460A9E"/>
    <w:rsid w:val="1BE8440E"/>
    <w:rsid w:val="1C8610BE"/>
    <w:rsid w:val="1CA4313C"/>
    <w:rsid w:val="1CA8090C"/>
    <w:rsid w:val="1CD933FB"/>
    <w:rsid w:val="1D155CEE"/>
    <w:rsid w:val="1D1B71E2"/>
    <w:rsid w:val="1E0A264E"/>
    <w:rsid w:val="1E7A4A7C"/>
    <w:rsid w:val="1F470CE7"/>
    <w:rsid w:val="1FDBBF84"/>
    <w:rsid w:val="204C610B"/>
    <w:rsid w:val="20CD00C7"/>
    <w:rsid w:val="20F1365D"/>
    <w:rsid w:val="20F57F95"/>
    <w:rsid w:val="21344B73"/>
    <w:rsid w:val="21725CB3"/>
    <w:rsid w:val="21745CFE"/>
    <w:rsid w:val="217B67AB"/>
    <w:rsid w:val="218C0F62"/>
    <w:rsid w:val="227D346B"/>
    <w:rsid w:val="22F37330"/>
    <w:rsid w:val="23280B86"/>
    <w:rsid w:val="23B053E5"/>
    <w:rsid w:val="240371BF"/>
    <w:rsid w:val="242122A1"/>
    <w:rsid w:val="24C11004"/>
    <w:rsid w:val="24F96ACA"/>
    <w:rsid w:val="24FB4621"/>
    <w:rsid w:val="25711CC6"/>
    <w:rsid w:val="25C741E6"/>
    <w:rsid w:val="26744A18"/>
    <w:rsid w:val="26CB7D2B"/>
    <w:rsid w:val="27284A03"/>
    <w:rsid w:val="276F80C0"/>
    <w:rsid w:val="27842671"/>
    <w:rsid w:val="279B1307"/>
    <w:rsid w:val="27A10BC9"/>
    <w:rsid w:val="28783BEF"/>
    <w:rsid w:val="29024CD7"/>
    <w:rsid w:val="292C08A1"/>
    <w:rsid w:val="298B506E"/>
    <w:rsid w:val="29E049CC"/>
    <w:rsid w:val="29FD04D3"/>
    <w:rsid w:val="2A2A23C5"/>
    <w:rsid w:val="2AA90556"/>
    <w:rsid w:val="2ABE7A3E"/>
    <w:rsid w:val="2AFF09B6"/>
    <w:rsid w:val="2C9319AB"/>
    <w:rsid w:val="2C9C7ED5"/>
    <w:rsid w:val="2CA234A8"/>
    <w:rsid w:val="2D0931FF"/>
    <w:rsid w:val="2D162166"/>
    <w:rsid w:val="2E99549C"/>
    <w:rsid w:val="2EFA178C"/>
    <w:rsid w:val="2EFDF86C"/>
    <w:rsid w:val="2F4F37EA"/>
    <w:rsid w:val="2F6E2995"/>
    <w:rsid w:val="2F9D17E1"/>
    <w:rsid w:val="2FB610FC"/>
    <w:rsid w:val="30B46D73"/>
    <w:rsid w:val="319F7F4E"/>
    <w:rsid w:val="31B435A2"/>
    <w:rsid w:val="32B51C5C"/>
    <w:rsid w:val="33563281"/>
    <w:rsid w:val="3420172B"/>
    <w:rsid w:val="349E5649"/>
    <w:rsid w:val="34CF1CCD"/>
    <w:rsid w:val="356A28F1"/>
    <w:rsid w:val="357C035A"/>
    <w:rsid w:val="357C13A8"/>
    <w:rsid w:val="360523E9"/>
    <w:rsid w:val="361635B2"/>
    <w:rsid w:val="368E000D"/>
    <w:rsid w:val="36BA462E"/>
    <w:rsid w:val="37E81467"/>
    <w:rsid w:val="381848A3"/>
    <w:rsid w:val="383D272C"/>
    <w:rsid w:val="3853332D"/>
    <w:rsid w:val="38830020"/>
    <w:rsid w:val="39376C95"/>
    <w:rsid w:val="3963123A"/>
    <w:rsid w:val="39AE70AB"/>
    <w:rsid w:val="39B17A12"/>
    <w:rsid w:val="39C727CC"/>
    <w:rsid w:val="3A4DCE41"/>
    <w:rsid w:val="3AA91130"/>
    <w:rsid w:val="3BA9729E"/>
    <w:rsid w:val="3BCB56FA"/>
    <w:rsid w:val="3C023BDB"/>
    <w:rsid w:val="3C0C0783"/>
    <w:rsid w:val="3C6B6DBA"/>
    <w:rsid w:val="3CD11CEE"/>
    <w:rsid w:val="3E8F50CC"/>
    <w:rsid w:val="3EE7C2F4"/>
    <w:rsid w:val="3EED4272"/>
    <w:rsid w:val="3F286560"/>
    <w:rsid w:val="3F2E38F1"/>
    <w:rsid w:val="3F371B56"/>
    <w:rsid w:val="3F792ED8"/>
    <w:rsid w:val="3F9F3A96"/>
    <w:rsid w:val="3FECA4B2"/>
    <w:rsid w:val="3FF58C48"/>
    <w:rsid w:val="40236ADC"/>
    <w:rsid w:val="406A3A6E"/>
    <w:rsid w:val="409D7AA1"/>
    <w:rsid w:val="40C33F2F"/>
    <w:rsid w:val="40C37DBA"/>
    <w:rsid w:val="40FE394E"/>
    <w:rsid w:val="41F76A74"/>
    <w:rsid w:val="421733A4"/>
    <w:rsid w:val="42723FB2"/>
    <w:rsid w:val="4280117E"/>
    <w:rsid w:val="42FF6694"/>
    <w:rsid w:val="43121725"/>
    <w:rsid w:val="43235087"/>
    <w:rsid w:val="436540B4"/>
    <w:rsid w:val="4404474C"/>
    <w:rsid w:val="4507197D"/>
    <w:rsid w:val="45480004"/>
    <w:rsid w:val="45E349AD"/>
    <w:rsid w:val="46395CB6"/>
    <w:rsid w:val="464E77A1"/>
    <w:rsid w:val="477F6429"/>
    <w:rsid w:val="47A2710C"/>
    <w:rsid w:val="48101BB2"/>
    <w:rsid w:val="48BF60AB"/>
    <w:rsid w:val="48D20877"/>
    <w:rsid w:val="493C27E9"/>
    <w:rsid w:val="496F39ED"/>
    <w:rsid w:val="498836E9"/>
    <w:rsid w:val="498C7A88"/>
    <w:rsid w:val="49A768C5"/>
    <w:rsid w:val="49FF41D3"/>
    <w:rsid w:val="4A056402"/>
    <w:rsid w:val="4A4C057A"/>
    <w:rsid w:val="4ABF6FB7"/>
    <w:rsid w:val="4AD323B7"/>
    <w:rsid w:val="4B084B3A"/>
    <w:rsid w:val="4B985A37"/>
    <w:rsid w:val="4BE068DB"/>
    <w:rsid w:val="4BF6002B"/>
    <w:rsid w:val="4BFFC6BE"/>
    <w:rsid w:val="4CF1406A"/>
    <w:rsid w:val="4E09105A"/>
    <w:rsid w:val="4E9A005B"/>
    <w:rsid w:val="4ECE2238"/>
    <w:rsid w:val="4FA90F40"/>
    <w:rsid w:val="500A459E"/>
    <w:rsid w:val="50DA7079"/>
    <w:rsid w:val="51DB4B86"/>
    <w:rsid w:val="51F64DB0"/>
    <w:rsid w:val="5350244D"/>
    <w:rsid w:val="53C0443A"/>
    <w:rsid w:val="543764D4"/>
    <w:rsid w:val="547147DA"/>
    <w:rsid w:val="548D6F3D"/>
    <w:rsid w:val="54FE34BC"/>
    <w:rsid w:val="55130500"/>
    <w:rsid w:val="55333C3E"/>
    <w:rsid w:val="570473D7"/>
    <w:rsid w:val="5763355C"/>
    <w:rsid w:val="57D933B0"/>
    <w:rsid w:val="58D816FE"/>
    <w:rsid w:val="58DA3675"/>
    <w:rsid w:val="58EC22D5"/>
    <w:rsid w:val="590A3862"/>
    <w:rsid w:val="59D25A15"/>
    <w:rsid w:val="59D94342"/>
    <w:rsid w:val="5A042A92"/>
    <w:rsid w:val="5B340EFB"/>
    <w:rsid w:val="5B3F0478"/>
    <w:rsid w:val="5B3F6536"/>
    <w:rsid w:val="5B4E4854"/>
    <w:rsid w:val="5B85632F"/>
    <w:rsid w:val="5C1A5E09"/>
    <w:rsid w:val="5C9C2C23"/>
    <w:rsid w:val="5E242AD6"/>
    <w:rsid w:val="5E4C0E16"/>
    <w:rsid w:val="5E7F1A6E"/>
    <w:rsid w:val="5F5B55FE"/>
    <w:rsid w:val="5F67802D"/>
    <w:rsid w:val="5F7DC4F2"/>
    <w:rsid w:val="5FB36814"/>
    <w:rsid w:val="5FBB8E56"/>
    <w:rsid w:val="5FFB5535"/>
    <w:rsid w:val="60D57EBE"/>
    <w:rsid w:val="61386CF4"/>
    <w:rsid w:val="617E3A6E"/>
    <w:rsid w:val="61843632"/>
    <w:rsid w:val="625E4489"/>
    <w:rsid w:val="62E00778"/>
    <w:rsid w:val="631A3254"/>
    <w:rsid w:val="63237779"/>
    <w:rsid w:val="63580DC2"/>
    <w:rsid w:val="63706DE0"/>
    <w:rsid w:val="63BF42E2"/>
    <w:rsid w:val="63FC2F30"/>
    <w:rsid w:val="645637C6"/>
    <w:rsid w:val="64647B80"/>
    <w:rsid w:val="64715E10"/>
    <w:rsid w:val="64CA39A1"/>
    <w:rsid w:val="65C779AF"/>
    <w:rsid w:val="66990DBD"/>
    <w:rsid w:val="67315AB7"/>
    <w:rsid w:val="67B8354E"/>
    <w:rsid w:val="67F447A9"/>
    <w:rsid w:val="68231D31"/>
    <w:rsid w:val="69630ADE"/>
    <w:rsid w:val="69BD5F13"/>
    <w:rsid w:val="69FB0B4B"/>
    <w:rsid w:val="6A311294"/>
    <w:rsid w:val="6A54720D"/>
    <w:rsid w:val="6AD30F2A"/>
    <w:rsid w:val="6AEC5FDA"/>
    <w:rsid w:val="6B54270F"/>
    <w:rsid w:val="6B5D7DC5"/>
    <w:rsid w:val="6B8516D7"/>
    <w:rsid w:val="6BAE25FE"/>
    <w:rsid w:val="6BBC7BDD"/>
    <w:rsid w:val="6BCC02E7"/>
    <w:rsid w:val="6BE1374D"/>
    <w:rsid w:val="6BFFE1FB"/>
    <w:rsid w:val="6C1F20AE"/>
    <w:rsid w:val="6C351308"/>
    <w:rsid w:val="6C4A05C8"/>
    <w:rsid w:val="6C653213"/>
    <w:rsid w:val="6C6C33D6"/>
    <w:rsid w:val="6CEE0F59"/>
    <w:rsid w:val="6D3B1A89"/>
    <w:rsid w:val="6D74612F"/>
    <w:rsid w:val="6DB7D8A3"/>
    <w:rsid w:val="6EA32B67"/>
    <w:rsid w:val="6EC78701"/>
    <w:rsid w:val="6ECE2767"/>
    <w:rsid w:val="6F7A5481"/>
    <w:rsid w:val="6FFE07A9"/>
    <w:rsid w:val="706F4B8C"/>
    <w:rsid w:val="710A6F87"/>
    <w:rsid w:val="713D5540"/>
    <w:rsid w:val="71587F07"/>
    <w:rsid w:val="718176F5"/>
    <w:rsid w:val="71A6795C"/>
    <w:rsid w:val="71BF4EC2"/>
    <w:rsid w:val="72033C88"/>
    <w:rsid w:val="72734D90"/>
    <w:rsid w:val="7329641A"/>
    <w:rsid w:val="7331289E"/>
    <w:rsid w:val="73E75B71"/>
    <w:rsid w:val="7412278C"/>
    <w:rsid w:val="74125F63"/>
    <w:rsid w:val="742103A1"/>
    <w:rsid w:val="74514F3B"/>
    <w:rsid w:val="74680520"/>
    <w:rsid w:val="746E6CE8"/>
    <w:rsid w:val="74917D1F"/>
    <w:rsid w:val="751C540C"/>
    <w:rsid w:val="75DDCDA9"/>
    <w:rsid w:val="75F447AF"/>
    <w:rsid w:val="75FF44B1"/>
    <w:rsid w:val="76D63D2E"/>
    <w:rsid w:val="77670518"/>
    <w:rsid w:val="777FA627"/>
    <w:rsid w:val="77DF1B5F"/>
    <w:rsid w:val="77EF2D9D"/>
    <w:rsid w:val="780B5333"/>
    <w:rsid w:val="780E628B"/>
    <w:rsid w:val="79E7B28D"/>
    <w:rsid w:val="7A122892"/>
    <w:rsid w:val="7A3F63A2"/>
    <w:rsid w:val="7A931997"/>
    <w:rsid w:val="7A9A16F2"/>
    <w:rsid w:val="7ACFF0C2"/>
    <w:rsid w:val="7AFB9108"/>
    <w:rsid w:val="7B0E60A5"/>
    <w:rsid w:val="7B8331A0"/>
    <w:rsid w:val="7BD5340C"/>
    <w:rsid w:val="7BF80B86"/>
    <w:rsid w:val="7BFB19D2"/>
    <w:rsid w:val="7BFD1750"/>
    <w:rsid w:val="7BFDAA1B"/>
    <w:rsid w:val="7CDF9A82"/>
    <w:rsid w:val="7CFFA1BD"/>
    <w:rsid w:val="7D2E3F7A"/>
    <w:rsid w:val="7D963F17"/>
    <w:rsid w:val="7DED9490"/>
    <w:rsid w:val="7DFF4872"/>
    <w:rsid w:val="7E7487E6"/>
    <w:rsid w:val="7E7C2A54"/>
    <w:rsid w:val="7EC70B89"/>
    <w:rsid w:val="7ED55FB0"/>
    <w:rsid w:val="7EE7455F"/>
    <w:rsid w:val="7EEEFD72"/>
    <w:rsid w:val="7F1D517C"/>
    <w:rsid w:val="7F285B8B"/>
    <w:rsid w:val="7F5DA057"/>
    <w:rsid w:val="7F6C2237"/>
    <w:rsid w:val="7F7F319B"/>
    <w:rsid w:val="7F9F20EE"/>
    <w:rsid w:val="7FBBE890"/>
    <w:rsid w:val="7FBC2ABD"/>
    <w:rsid w:val="7FBF5D48"/>
    <w:rsid w:val="7FCCFC01"/>
    <w:rsid w:val="7FDD1748"/>
    <w:rsid w:val="7FE769C6"/>
    <w:rsid w:val="7FEA4F4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3"/>
    <w:qFormat/>
    <w:uiPriority w:val="9"/>
    <w:rPr>
      <w:rFonts w:ascii="Times New Roman" w:hAnsi="Times New Roman"/>
      <w:b/>
      <w:bCs/>
      <w:kern w:val="44"/>
      <w:sz w:val="44"/>
      <w:szCs w:val="44"/>
    </w:rPr>
  </w:style>
  <w:style w:type="character" w:customStyle="1" w:styleId="28">
    <w:name w:val="标题 2 字符"/>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p2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image" Target="media/image5.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I:\&#26472;&#23478;.2023&#24180;&#24230;&#37096;&#38376;&#20915;&#31639;&#25253;&#34920;&#35828;&#26126;&#21450;&#38468;&#34920;\&#20915;&#31639;&#25253;&#21578;&#39292;&#29366;&#2227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1508;&#31181;&#20915;&#31639;&#25253;&#34920;\2023&#24180;&#20915;&#31639;&#20844;&#24320;&#36164;&#26009;\&#20915;&#31639;&#25253;&#21578;&#39292;&#29366;&#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horzOverflow="overflow"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[决算报告饼状图.xlsx]Sheet1!$A$3</c:f>
              <c:strCache>
                <c:ptCount val="1"/>
                <c:pt idx="0">
                  <c:v>一般公共预算财政拨款支出（万元）</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[决算报告饼状图.xlsx]Sheet1!$B$2:$C$2</c:f>
              <c:strCache>
                <c:ptCount val="2"/>
                <c:pt idx="0">
                  <c:v>社会保障和就业支出（万元）</c:v>
                </c:pt>
                <c:pt idx="1">
                  <c:v>卫生健康支出</c:v>
                </c:pt>
              </c:strCache>
            </c:strRef>
          </c:cat>
          <c:val>
            <c:numRef>
              <c:f>[决算报告饼状图.xlsx]Sheet1!$B$3:$C$3</c:f>
              <c:numCache>
                <c:formatCode>General</c:formatCode>
                <c:ptCount val="2"/>
                <c:pt idx="0">
                  <c:v>23.87</c:v>
                </c:pt>
                <c:pt idx="1">
                  <c:v>230.69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horzOverflow="overflow"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[决算报告饼状图.xlsx]Sheet1!$A$109</c:f>
              <c:strCache>
                <c:ptCount val="1"/>
                <c:pt idx="0">
                  <c:v>三公经费支出（万元）</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horzOverflow="overflow"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[决算报告饼状图.xlsx]Sheet1!$B$108:$D$108</c:f>
              <c:strCache>
                <c:ptCount val="3"/>
                <c:pt idx="0">
                  <c:v>公务接待费（万元）</c:v>
                </c:pt>
                <c:pt idx="1">
                  <c:v>公务用车购置及运行维护费（万元）</c:v>
                </c:pt>
                <c:pt idx="2">
                  <c:v>因公出国（境）费（万元）</c:v>
                </c:pt>
              </c:strCache>
            </c:strRef>
          </c:cat>
          <c:val>
            <c:numRef>
              <c:f>[决算报告饼状图.xlsx]Sheet1!$B$109:$D$109</c:f>
              <c:numCache>
                <c:formatCode>General</c:formatCode>
                <c:ptCount val="3"/>
                <c:pt idx="0">
                  <c:v>0</c:v>
                </c:pt>
                <c:pt idx="1">
                  <c:v>0</c:v>
                </c:pt>
                <c:pt idx="2">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horzOverflow="overflow"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rot="0" spcFirstLastPara="0" vertOverflow="ellipsis" horzOverflow="overflow" vert="horz" wrap="square" anchor="ctr" anchorCtr="1"/>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17</Pages>
  <Words>5301</Words>
  <Characters>5708</Characters>
  <Lines>54</Lines>
  <Paragraphs>15</Paragraphs>
  <TotalTime>10</TotalTime>
  <ScaleCrop>false</ScaleCrop>
  <LinksUpToDate>false</LinksUpToDate>
  <CharactersWithSpaces>5729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似水流年</cp:lastModifiedBy>
  <cp:lastPrinted>2023-08-03T02:35:00Z</cp:lastPrinted>
  <dcterms:modified xsi:type="dcterms:W3CDTF">2024-10-23T08:35:27Z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2BA5F902A465409290C673DFBCCF2C47</vt:lpwstr>
  </property>
</Properties>
</file>