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《大竹县集体土地上房屋拆迁安置实施细则》起草说明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为规范大竹县县域内集体土地上房屋拆迁补偿安置工作，维护农村集体经济组织、村民和其他权利人的合法权益，根据《中华人民共和国土地管理法》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《中华人民共和国土地管理法实施条例》和《达州市征地拆迁补偿安置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》等法律法规的规定，结合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县房屋征收与补偿中心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草拟形成《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大竹县集体土地上房屋拆迁安置实施细则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（征求意见稿）》。通过征求社会意见，开展风险评估，组织专家论证，集体讨论研究等工作，形成了《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大竹县集体土地上房屋拆迁安置实施细则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（送审稿）》（以下简称《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二、制定文件的必要性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（一）适应法律法规。国有土地上的房屋征收以《国有土地上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"https://www.66law.cn/tiaoli/24.aspx" \o "房屋征收与补偿条例" \t "https://www.66law.cn/laws/_blank"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房屋征收与补偿条例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》为法律依据，但至今关于集体土地上的房屋征收补偿国家还没有统一的立法。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达州市政府出台了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《达州市征地拆迁补偿安置办法》，并指出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各县（市、区）可以根据本办法，结合本地实际，制定具体的实施细则。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该实施细则的出台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了大竹县县城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集体土地房屋征收补偿安置工作，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保障集体土地房屋当事人的合法权益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（二）顺应社会发展。随着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社会经济发展，近些年实施的征地拆迁项目较多，现行政策暴露出不足之处。同时，审计、司法部门也对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县城周边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集体土地房屋征收补偿安置政策进行专项研究，指出了政策执行中存在的问题，给出了完善政策的工作建议。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三、需要解决的问题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《达州市征地拆迁补偿安置办法》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的有关规定，和审计、司法部门指出现行政策执行中存在的问题，需对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现行集体土地房屋征收补偿安置政策中，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合法房屋和建（构）筑物面积的认定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室内装潢补偿标准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等方面的政策进行修改和完善。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实施细则主要内容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》共由五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组成。第一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为总则，主要是阐述政策适用范围和征收实施主体等内容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拆迁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管理，主要是阐述实施征收前期的相关事项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为房屋建（构）筑物拆迁补偿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面积认定、标准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，主要是阐述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合法房屋建（构）筑物面积的认定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不予认定为合法房屋建（构）筑物情形、室内装潢补偿标准、其它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规定等方面内容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为法律责任，主要是阐述实施征收的法律责任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为附则，主要是阐述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具体执行方面内容。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五、评估论证、征求意见及协调处理等情况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（一）工作开展情况。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2022年12月5日，县房屋征收与补偿中心在县人民政府官网，刊登了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《大竹县集体土地上房屋拆迁安置实施细则（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  <w:t>）》，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于2022年12月5日—2023年1月5日向公众征求意见和建议。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2023年1月11日，县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政府办召集财政局、司法局、住建局、自然资源局、农业农村局、房征中心、规划编制中心、两违办、建设监察大队等部门的相关专家，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对该《大竹县集体土地上房屋拆迁安置实施细则》进行了论证，参会各方对实施细则提出了意见建议。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2023年1月3日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县房屋征收与补偿中心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  <w:t>委托第三方四川竹浩社会风险评估咨询有限公司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风险评估，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评估结论为低风险可以实施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日，风险评估事项通过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委政法委备案。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（二）意见建议梳理。通过征求社会意见、专家论证等途径共收集意见建议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全部为部门专家意见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财政局：1.删除第三章第十二条第四项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被相关职能部门行政处罚后按处罚面积进行认定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；2.删除第三章第十二条第七项中的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；3.第三章第十五条规定的室内装潢补助限定范围和认定原则。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规划编制中心：1.删除第一章第六条中的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；2.删除第三章第十二条第七项中的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司法局：1.第三章在第十六条后加上第十七条：集体土地上房屋拆迁标准本实施细则未尽事宜，以《达州市征地拆迁补偿安置办法》规定的为准；2.第三章大标题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房屋建（构）筑物拆迁补偿和安置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房屋建（构）筑物拆迁补偿面积认定、标准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自然资源局：第一章第六条：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农业农村局：1.第六条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；2.第八条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有关部门、乡镇（街道）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两违办：第十二条第四项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相关职能部门行政处罚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按处罚后的面积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进行认定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相关职能部门处置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按处置后的面积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进行认定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（三）协调处理情况。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县房屋征收与补偿中心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相关部门，对照收集的意见建议，对政策进行逐条修改。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WUzODJiNzMwNzkzYTVhOTQ2OTUxN2UzZjI0YWQifQ=="/>
  </w:docVars>
  <w:rsids>
    <w:rsidRoot w:val="3DFE6A5F"/>
    <w:rsid w:val="0E8D603A"/>
    <w:rsid w:val="2F106599"/>
    <w:rsid w:val="3DFE6A5F"/>
    <w:rsid w:val="567B61FF"/>
    <w:rsid w:val="67160468"/>
    <w:rsid w:val="705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1738</Characters>
  <Lines>0</Lines>
  <Paragraphs>0</Paragraphs>
  <TotalTime>3</TotalTime>
  <ScaleCrop>false</ScaleCrop>
  <LinksUpToDate>false</LinksUpToDate>
  <CharactersWithSpaces>1739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2023-01-10T09:05:00Z</dcterms:created>
  <dc:creator>程</dc:creator>
  <cp:lastModifiedBy>WPS_1658998144</cp:lastModifiedBy>
  <dcterms:modified xsi:type="dcterms:W3CDTF">2023-01-12T09:00:23Z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26484A7DC7D44D7DA2CE06385092E028</vt:lpwstr>
  </property>
</Properties>
</file>